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A00" w:rsidRPr="003E755A" w:rsidRDefault="00FD0A00" w:rsidP="00FD0A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FD0A00" w:rsidRPr="003E755A" w:rsidRDefault="00FD0A00" w:rsidP="00FD0A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>к  постановлению Администрации</w:t>
      </w:r>
    </w:p>
    <w:p w:rsidR="00FD0A00" w:rsidRPr="003E755A" w:rsidRDefault="004472A2" w:rsidP="00FD0A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>Исилькульского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FD0A00" w:rsidRPr="003E755A" w:rsidRDefault="005711DD" w:rsidP="00FD0A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06.12.2023</w:t>
      </w:r>
      <w:r w:rsidR="006F38D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513</w:t>
      </w:r>
      <w:bookmarkStart w:id="0" w:name="_GoBack"/>
      <w:bookmarkEnd w:id="0"/>
    </w:p>
    <w:p w:rsidR="00FD0A00" w:rsidRPr="003E755A" w:rsidRDefault="00FD0A00" w:rsidP="00FD0A0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0A00" w:rsidRPr="00410369" w:rsidRDefault="00FD0A00" w:rsidP="00FD0A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369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FD0A00" w:rsidRPr="00410369" w:rsidRDefault="00FD0A00" w:rsidP="00FD0A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369">
        <w:rPr>
          <w:rFonts w:ascii="Times New Roman" w:eastAsia="Times New Roman" w:hAnsi="Times New Roman" w:cs="Times New Roman"/>
          <w:b/>
          <w:sz w:val="28"/>
          <w:szCs w:val="28"/>
        </w:rPr>
        <w:t xml:space="preserve">ключевых показателей эффективности функционирования системы </w:t>
      </w:r>
    </w:p>
    <w:p w:rsidR="00FD0A00" w:rsidRPr="00410369" w:rsidRDefault="00FD0A00" w:rsidP="00FD0A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369">
        <w:rPr>
          <w:rFonts w:ascii="Times New Roman" w:eastAsia="Times New Roman" w:hAnsi="Times New Roman" w:cs="Times New Roman"/>
          <w:b/>
          <w:sz w:val="28"/>
          <w:szCs w:val="28"/>
        </w:rPr>
        <w:t xml:space="preserve">внутреннего обеспечения соответствия требованиям антимонопольного законодательства деятельности Администрации </w:t>
      </w:r>
      <w:r w:rsidR="004472A2" w:rsidRPr="00410369">
        <w:rPr>
          <w:rFonts w:ascii="Times New Roman" w:eastAsia="Times New Roman" w:hAnsi="Times New Roman" w:cs="Times New Roman"/>
          <w:b/>
          <w:sz w:val="28"/>
          <w:szCs w:val="28"/>
        </w:rPr>
        <w:t xml:space="preserve">Исилькульского </w:t>
      </w:r>
      <w:r w:rsidRPr="0041036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Омской области</w:t>
      </w:r>
      <w:r w:rsidR="00C12484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</w:t>
      </w:r>
      <w:r w:rsidR="00011A6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1248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Pr="00410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методика их расчета</w:t>
      </w:r>
    </w:p>
    <w:p w:rsidR="00FD0A00" w:rsidRPr="003E755A" w:rsidRDefault="00FD0A00" w:rsidP="00FD0A0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0A00" w:rsidRPr="003E755A" w:rsidRDefault="00FD0A00" w:rsidP="00FD0A0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0A00" w:rsidRPr="003E755A" w:rsidRDefault="00FD0A00" w:rsidP="003E755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1. Ключевые показатели эффективности  для Администрации </w:t>
      </w:r>
      <w:r w:rsidR="005F04B2">
        <w:rPr>
          <w:rFonts w:ascii="Times New Roman" w:eastAsia="Times New Roman" w:hAnsi="Times New Roman" w:cs="Times New Roman"/>
          <w:sz w:val="28"/>
          <w:szCs w:val="28"/>
        </w:rPr>
        <w:t xml:space="preserve"> Исилькульского муниципального района Омской области (далее по тексту Администрации района) 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в целом являются:</w:t>
      </w:r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а) коэффициент 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>снижения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 xml:space="preserve">количества 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нарушений антимонопольного законодательства, допущенных </w:t>
      </w:r>
      <w:r w:rsidR="0076045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района в </w:t>
      </w:r>
      <w:r w:rsidR="0002653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B2A6F">
        <w:rPr>
          <w:rFonts w:ascii="Times New Roman" w:eastAsia="Times New Roman" w:hAnsi="Times New Roman" w:cs="Times New Roman"/>
          <w:sz w:val="28"/>
          <w:szCs w:val="28"/>
        </w:rPr>
        <w:t>тчетном году по сравнению с 202</w:t>
      </w:r>
      <w:r w:rsidR="00011A6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годом;</w:t>
      </w:r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>доля прое</w:t>
      </w:r>
      <w:r w:rsidR="003E755A" w:rsidRPr="003E755A">
        <w:rPr>
          <w:rFonts w:ascii="Times New Roman" w:eastAsia="Times New Roman" w:hAnsi="Times New Roman" w:cs="Times New Roman"/>
          <w:sz w:val="28"/>
          <w:szCs w:val="28"/>
        </w:rPr>
        <w:t>ктов нормативно правовых актов А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района, </w:t>
      </w:r>
      <w:r w:rsidR="003E755A" w:rsidRPr="003E755A">
        <w:rPr>
          <w:rFonts w:ascii="Times New Roman" w:eastAsia="Times New Roman" w:hAnsi="Times New Roman" w:cs="Times New Roman"/>
          <w:sz w:val="28"/>
          <w:szCs w:val="28"/>
        </w:rPr>
        <w:br/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 xml:space="preserve">в которых выявлены риски нарушения </w:t>
      </w:r>
      <w:proofErr w:type="spellStart"/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>антимонополного</w:t>
      </w:r>
      <w:proofErr w:type="spellEnd"/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законодательства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 xml:space="preserve">доля нормативных   правовых актов </w:t>
      </w:r>
      <w:r w:rsidR="003E755A" w:rsidRPr="003E755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района, в которых выявлены риски нарушения </w:t>
      </w:r>
      <w:proofErr w:type="spellStart"/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>антимонополного</w:t>
      </w:r>
      <w:proofErr w:type="spellEnd"/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законодательства;</w:t>
      </w:r>
    </w:p>
    <w:p w:rsidR="001A711D" w:rsidRPr="003E755A" w:rsidRDefault="001A711D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A00" w:rsidRPr="003E755A" w:rsidRDefault="003E755A" w:rsidP="003E755A">
      <w:pPr>
        <w:ind w:firstLine="708"/>
        <w:jc w:val="both"/>
        <w:rPr>
          <w:rFonts w:ascii="Times New Roman" w:eastAsia="Cambria Math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Коэффициент динамики количества нарушений антимонопольног</w:t>
      </w:r>
      <w:r w:rsidR="0076045F">
        <w:rPr>
          <w:rFonts w:ascii="Times New Roman" w:eastAsia="Times New Roman" w:hAnsi="Times New Roman" w:cs="Times New Roman"/>
          <w:sz w:val="28"/>
          <w:szCs w:val="28"/>
        </w:rPr>
        <w:t>о законодательства, допущенных А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района в </w:t>
      </w:r>
      <w:r w:rsidR="00EC57C5">
        <w:rPr>
          <w:rFonts w:ascii="Times New Roman" w:eastAsia="Times New Roman" w:hAnsi="Times New Roman" w:cs="Times New Roman"/>
          <w:sz w:val="28"/>
          <w:szCs w:val="28"/>
        </w:rPr>
        <w:t>отчетном году по сравнению с 202</w:t>
      </w:r>
      <w:r w:rsidR="00011A61">
        <w:rPr>
          <w:rFonts w:ascii="Times New Roman" w:eastAsia="Times New Roman" w:hAnsi="Times New Roman" w:cs="Times New Roman"/>
          <w:sz w:val="28"/>
          <w:szCs w:val="28"/>
        </w:rPr>
        <w:t>3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годом (единиц), рассчитывается по формуле:</w:t>
      </w:r>
    </w:p>
    <w:p w:rsidR="00FD0A00" w:rsidRPr="003E755A" w:rsidRDefault="00493C4B" w:rsidP="003E755A">
      <w:pPr>
        <w:ind w:left="3540" w:firstLine="708"/>
        <w:jc w:val="both"/>
        <w:rPr>
          <w:rFonts w:ascii="Times New Roman" w:eastAsia="Cambria Math" w:hAnsi="Times New Roman" w:cs="Times New Roman"/>
          <w:sz w:val="28"/>
          <w:szCs w:val="28"/>
          <w:u w:val="single"/>
        </w:rPr>
      </w:pPr>
      <w:r w:rsidRPr="003E755A">
        <w:rPr>
          <w:rFonts w:ascii="Times New Roman" w:eastAsia="Cambria Math" w:hAnsi="Times New Roman" w:cs="Times New Roman"/>
          <w:sz w:val="28"/>
          <w:szCs w:val="28"/>
        </w:rPr>
        <w:t>КС</w:t>
      </w:r>
      <w:r w:rsidR="00FD0A00" w:rsidRPr="003E755A">
        <w:rPr>
          <w:rFonts w:ascii="Times New Roman" w:eastAsia="Cambria Math" w:hAnsi="Times New Roman" w:cs="Times New Roman"/>
          <w:sz w:val="28"/>
          <w:szCs w:val="28"/>
        </w:rPr>
        <w:t xml:space="preserve">Н = </w:t>
      </w:r>
      <w:r w:rsidR="00FD0A00" w:rsidRPr="003E755A">
        <w:rPr>
          <w:rFonts w:ascii="Times New Roman" w:eastAsia="Cambria Math" w:hAnsi="Times New Roman" w:cs="Times New Roman"/>
          <w:sz w:val="28"/>
          <w:szCs w:val="28"/>
          <w:u w:val="single"/>
        </w:rPr>
        <w:t>КН</w:t>
      </w:r>
      <w:r w:rsidR="00EC57C5">
        <w:rPr>
          <w:rFonts w:ascii="Times New Roman" w:eastAsia="Cambria Math" w:hAnsi="Times New Roman" w:cs="Times New Roman"/>
          <w:u w:val="single"/>
        </w:rPr>
        <w:t>202</w:t>
      </w:r>
      <w:r w:rsidR="00011A61">
        <w:rPr>
          <w:rFonts w:ascii="Times New Roman" w:eastAsia="Cambria Math" w:hAnsi="Times New Roman" w:cs="Times New Roman"/>
          <w:u w:val="single"/>
        </w:rPr>
        <w:t>3</w:t>
      </w:r>
    </w:p>
    <w:p w:rsidR="003E755A" w:rsidRPr="003E755A" w:rsidRDefault="00493C4B" w:rsidP="003E755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Cambria Math" w:hAnsi="Times New Roman" w:cs="Times New Roman"/>
          <w:sz w:val="28"/>
          <w:szCs w:val="28"/>
        </w:rPr>
        <w:t xml:space="preserve">            </w:t>
      </w:r>
      <w:r w:rsidR="003E755A">
        <w:rPr>
          <w:rFonts w:ascii="Times New Roman" w:eastAsia="Cambria Math" w:hAnsi="Times New Roman" w:cs="Times New Roman"/>
          <w:sz w:val="28"/>
          <w:szCs w:val="28"/>
        </w:rPr>
        <w:tab/>
      </w:r>
      <w:r w:rsidR="003E755A">
        <w:rPr>
          <w:rFonts w:ascii="Times New Roman" w:eastAsia="Cambria Math" w:hAnsi="Times New Roman" w:cs="Times New Roman"/>
          <w:sz w:val="28"/>
          <w:szCs w:val="28"/>
        </w:rPr>
        <w:tab/>
      </w:r>
      <w:r w:rsidR="003E755A">
        <w:rPr>
          <w:rFonts w:ascii="Times New Roman" w:eastAsia="Cambria Math" w:hAnsi="Times New Roman" w:cs="Times New Roman"/>
          <w:sz w:val="28"/>
          <w:szCs w:val="28"/>
        </w:rPr>
        <w:tab/>
      </w:r>
      <w:r w:rsidR="003E755A">
        <w:rPr>
          <w:rFonts w:ascii="Times New Roman" w:eastAsia="Cambria Math" w:hAnsi="Times New Roman" w:cs="Times New Roman"/>
          <w:sz w:val="28"/>
          <w:szCs w:val="28"/>
        </w:rPr>
        <w:tab/>
      </w:r>
      <w:r w:rsidR="003E755A">
        <w:rPr>
          <w:rFonts w:ascii="Times New Roman" w:eastAsia="Cambria Math" w:hAnsi="Times New Roman" w:cs="Times New Roman"/>
          <w:sz w:val="28"/>
          <w:szCs w:val="28"/>
        </w:rPr>
        <w:tab/>
      </w:r>
      <w:r w:rsidR="003E755A">
        <w:rPr>
          <w:rFonts w:ascii="Times New Roman" w:eastAsia="Cambria Math" w:hAnsi="Times New Roman" w:cs="Times New Roman"/>
          <w:sz w:val="28"/>
          <w:szCs w:val="28"/>
        </w:rPr>
        <w:tab/>
        <w:t xml:space="preserve">   </w:t>
      </w:r>
      <w:r w:rsidR="00FD0A00" w:rsidRPr="003E755A">
        <w:rPr>
          <w:rFonts w:ascii="Times New Roman" w:eastAsia="Cambria Math" w:hAnsi="Times New Roman" w:cs="Times New Roman"/>
          <w:sz w:val="28"/>
          <w:szCs w:val="28"/>
        </w:rPr>
        <w:t>К</w:t>
      </w:r>
      <w:r w:rsidR="003E755A" w:rsidRPr="003E755A">
        <w:rPr>
          <w:rFonts w:ascii="Times New Roman" w:eastAsia="Cambria Math" w:hAnsi="Times New Roman" w:cs="Times New Roman"/>
          <w:sz w:val="28"/>
          <w:szCs w:val="28"/>
        </w:rPr>
        <w:t>н</w:t>
      </w:r>
      <w:r w:rsidRPr="003E755A">
        <w:rPr>
          <w:rFonts w:ascii="Times New Roman" w:eastAsia="Cambria Math" w:hAnsi="Times New Roman" w:cs="Times New Roman"/>
        </w:rPr>
        <w:t>оп</w:t>
      </w:r>
      <w:bookmarkStart w:id="1" w:name="page4"/>
      <w:bookmarkEnd w:id="1"/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Н – коэффициент 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>снижения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количества нарушений антимонопольног</w:t>
      </w:r>
      <w:r w:rsidR="0076045F">
        <w:rPr>
          <w:rFonts w:ascii="Times New Roman" w:eastAsia="Times New Roman" w:hAnsi="Times New Roman" w:cs="Times New Roman"/>
          <w:sz w:val="28"/>
          <w:szCs w:val="28"/>
        </w:rPr>
        <w:t>о законодательства, допущенных А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дминистрацией района, по</w:t>
      </w:r>
      <w:r w:rsidR="005B2A6F">
        <w:rPr>
          <w:rFonts w:ascii="Times New Roman" w:eastAsia="Times New Roman" w:hAnsi="Times New Roman" w:cs="Times New Roman"/>
          <w:sz w:val="28"/>
          <w:szCs w:val="28"/>
        </w:rPr>
        <w:t xml:space="preserve"> сравнению с 202</w:t>
      </w:r>
      <w:r w:rsidR="00011A61">
        <w:rPr>
          <w:rFonts w:ascii="Times New Roman" w:eastAsia="Times New Roman" w:hAnsi="Times New Roman" w:cs="Times New Roman"/>
          <w:sz w:val="28"/>
          <w:szCs w:val="28"/>
        </w:rPr>
        <w:t>3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 xml:space="preserve"> годом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>КН</w:t>
      </w:r>
      <w:r w:rsidR="00493C4B" w:rsidRPr="003E755A">
        <w:rPr>
          <w:rFonts w:ascii="Times New Roman" w:eastAsia="Times New Roman" w:hAnsi="Times New Roman" w:cs="Times New Roman"/>
        </w:rPr>
        <w:t>20</w:t>
      </w:r>
      <w:r w:rsidR="00026532">
        <w:rPr>
          <w:rFonts w:ascii="Times New Roman" w:eastAsia="Times New Roman" w:hAnsi="Times New Roman" w:cs="Times New Roman"/>
        </w:rPr>
        <w:t>2</w:t>
      </w:r>
      <w:r w:rsidR="00011A61">
        <w:rPr>
          <w:rFonts w:ascii="Times New Roman" w:eastAsia="Times New Roman" w:hAnsi="Times New Roman" w:cs="Times New Roman"/>
        </w:rPr>
        <w:t>3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нарушений антимонопольного законодательства, допущенных в </w:t>
      </w:r>
      <w:r w:rsidR="00026532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011A6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году (единиц);</w:t>
      </w:r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E755A">
        <w:rPr>
          <w:rFonts w:ascii="Times New Roman" w:eastAsia="Times New Roman" w:hAnsi="Times New Roman" w:cs="Times New Roman"/>
          <w:sz w:val="28"/>
          <w:szCs w:val="28"/>
        </w:rPr>
        <w:t>КН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оп</w:t>
      </w:r>
      <w:proofErr w:type="spellEnd"/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нарушений антимонопольного законодательства, допущенных </w:t>
      </w:r>
      <w:r w:rsidR="001A711D" w:rsidRPr="003E755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района в </w:t>
      </w:r>
      <w:r w:rsidR="00493C4B" w:rsidRPr="003E755A">
        <w:rPr>
          <w:rFonts w:ascii="Times New Roman" w:eastAsia="Times New Roman" w:hAnsi="Times New Roman" w:cs="Times New Roman"/>
          <w:sz w:val="28"/>
          <w:szCs w:val="28"/>
        </w:rPr>
        <w:t>отчетном периоде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0A00" w:rsidRPr="003E755A" w:rsidRDefault="00FD0A00" w:rsidP="00171D5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>При расчете коэффициента динамики количества нарушений антимонопольног</w:t>
      </w:r>
      <w:r w:rsidR="0076045F">
        <w:rPr>
          <w:rFonts w:ascii="Times New Roman" w:eastAsia="Times New Roman" w:hAnsi="Times New Roman" w:cs="Times New Roman"/>
          <w:sz w:val="28"/>
          <w:szCs w:val="28"/>
        </w:rPr>
        <w:t>о законодательства, допущенных А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дминистр</w:t>
      </w:r>
      <w:r w:rsidR="00026532">
        <w:rPr>
          <w:rFonts w:ascii="Times New Roman" w:eastAsia="Times New Roman" w:hAnsi="Times New Roman" w:cs="Times New Roman"/>
          <w:sz w:val="28"/>
          <w:szCs w:val="28"/>
        </w:rPr>
        <w:t>ацией района по сравнению с 202</w:t>
      </w:r>
      <w:r w:rsidR="00011A6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годом, под нарушением антимонопольног</w:t>
      </w:r>
      <w:r w:rsidR="0076045F">
        <w:rPr>
          <w:rFonts w:ascii="Times New Roman" w:eastAsia="Times New Roman" w:hAnsi="Times New Roman" w:cs="Times New Roman"/>
          <w:sz w:val="28"/>
          <w:szCs w:val="28"/>
        </w:rPr>
        <w:t>о законодательства, допущенным А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дминистрацией района, понимаются:</w:t>
      </w:r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- возбужденные ФАС России и его территориальными органами (далее - антимонопольный орган) в отношении Администрации </w:t>
      </w:r>
      <w:r w:rsidR="00CA0C9D">
        <w:rPr>
          <w:rFonts w:ascii="Times New Roman" w:eastAsia="Times New Roman" w:hAnsi="Times New Roman" w:cs="Times New Roman"/>
          <w:sz w:val="28"/>
          <w:szCs w:val="28"/>
        </w:rPr>
        <w:t>Исилькульского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района антимонопольные дела;</w:t>
      </w:r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- выданные антимонопольным органом Администрации района предупреждения о прекращении действий (бездействия), об отмене и изменении актов, которые содержат признаки нарушения антимонопольного 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законодательства, либо об устранении причин и условий, способствующих возникновению такого нарушения, и о принятии мер по устранению последствий такого нарушений;</w:t>
      </w:r>
    </w:p>
    <w:p w:rsidR="00FD0A00" w:rsidRPr="003E755A" w:rsidRDefault="00FD0A00" w:rsidP="00FD0A00">
      <w:pPr>
        <w:numPr>
          <w:ilvl w:val="0"/>
          <w:numId w:val="1"/>
        </w:numPr>
        <w:tabs>
          <w:tab w:val="left" w:pos="131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>направленные антимонопольным органом Администрации района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FD0A00" w:rsidRPr="003E755A" w:rsidRDefault="00FD0A00" w:rsidP="00FD0A0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755A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171D55" w:rsidRPr="003E755A">
        <w:rPr>
          <w:rFonts w:ascii="Times New Roman" w:eastAsia="Times New Roman" w:hAnsi="Times New Roman" w:cs="Times New Roman"/>
          <w:sz w:val="28"/>
          <w:szCs w:val="28"/>
        </w:rPr>
        <w:t xml:space="preserve">Доля </w:t>
      </w:r>
      <w:r w:rsidR="00EC57C5" w:rsidRPr="003E755A">
        <w:rPr>
          <w:rFonts w:ascii="Times New Roman" w:eastAsia="Times New Roman" w:hAnsi="Times New Roman" w:cs="Times New Roman"/>
          <w:sz w:val="28"/>
          <w:szCs w:val="28"/>
        </w:rPr>
        <w:t>проектов нормативных</w:t>
      </w:r>
      <w:r w:rsidR="00171D55" w:rsidRPr="003E755A">
        <w:rPr>
          <w:rFonts w:ascii="Times New Roman" w:eastAsia="Times New Roman" w:hAnsi="Times New Roman" w:cs="Times New Roman"/>
          <w:sz w:val="28"/>
          <w:szCs w:val="28"/>
        </w:rPr>
        <w:t xml:space="preserve"> правовых актов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района </w:t>
      </w:r>
      <w:r w:rsidR="00171D55" w:rsidRPr="003E755A">
        <w:rPr>
          <w:rFonts w:ascii="Times New Roman" w:eastAsia="Times New Roman" w:hAnsi="Times New Roman" w:cs="Times New Roman"/>
          <w:sz w:val="28"/>
          <w:szCs w:val="28"/>
        </w:rPr>
        <w:t>в которых выявлены риски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нарушения антимонопольного законодательства, рассчитывается по формуле:</w:t>
      </w:r>
    </w:p>
    <w:p w:rsidR="00FD0A00" w:rsidRPr="003E755A" w:rsidRDefault="00171D55" w:rsidP="00FD0A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E755A">
        <w:rPr>
          <w:rFonts w:ascii="Times New Roman" w:eastAsia="Cambria Math" w:hAnsi="Times New Roman" w:cs="Times New Roman"/>
          <w:sz w:val="28"/>
          <w:szCs w:val="28"/>
        </w:rPr>
        <w:t>Д</w:t>
      </w:r>
      <w:r w:rsidR="005F04B2">
        <w:rPr>
          <w:rFonts w:ascii="Times New Roman" w:eastAsia="Cambria Math" w:hAnsi="Times New Roman" w:cs="Times New Roman"/>
          <w:sz w:val="28"/>
          <w:szCs w:val="28"/>
        </w:rPr>
        <w:t>п</w:t>
      </w:r>
      <w:r w:rsidR="00FD0A00" w:rsidRPr="003E755A">
        <w:rPr>
          <w:rFonts w:ascii="Times New Roman" w:eastAsia="Cambria Math" w:hAnsi="Times New Roman" w:cs="Times New Roman"/>
          <w:sz w:val="28"/>
          <w:szCs w:val="28"/>
        </w:rPr>
        <w:t>нпа</w:t>
      </w:r>
      <w:proofErr w:type="spellEnd"/>
      <w:r w:rsidR="00FD0A00" w:rsidRPr="003E755A">
        <w:rPr>
          <w:rFonts w:ascii="Times New Roman" w:eastAsia="Cambria Math" w:hAnsi="Times New Roman" w:cs="Times New Roman"/>
          <w:sz w:val="28"/>
          <w:szCs w:val="28"/>
        </w:rPr>
        <w:t xml:space="preserve"> = </w:t>
      </w:r>
      <w:proofErr w:type="spellStart"/>
      <w:r w:rsidRPr="003E755A">
        <w:rPr>
          <w:rFonts w:ascii="Times New Roman" w:eastAsia="Cambria Math" w:hAnsi="Times New Roman" w:cs="Times New Roman"/>
          <w:sz w:val="28"/>
          <w:szCs w:val="28"/>
          <w:u w:val="single"/>
        </w:rPr>
        <w:t>Кп</w:t>
      </w:r>
      <w:r w:rsidR="00FD0A00" w:rsidRPr="003E755A">
        <w:rPr>
          <w:rFonts w:ascii="Times New Roman" w:eastAsia="Cambria Math" w:hAnsi="Times New Roman" w:cs="Times New Roman"/>
          <w:sz w:val="28"/>
          <w:szCs w:val="28"/>
          <w:u w:val="single"/>
        </w:rPr>
        <w:t>нпа</w:t>
      </w:r>
      <w:proofErr w:type="spellEnd"/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,</w:t>
      </w:r>
      <w:r w:rsidR="00AD59EA">
        <w:rPr>
          <w:rFonts w:ascii="Times New Roman" w:eastAsia="Cambria Math" w:hAnsi="Times New Roman" w:cs="Times New Roman"/>
          <w:sz w:val="28"/>
          <w:szCs w:val="28"/>
        </w:rPr>
        <w:t xml:space="preserve"> 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где</w:t>
      </w:r>
    </w:p>
    <w:p w:rsidR="00FD0A00" w:rsidRPr="003E755A" w:rsidRDefault="00FD0A00" w:rsidP="00FD0A00">
      <w:pPr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171D55" w:rsidRPr="003E7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9E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171D55" w:rsidRPr="003E755A">
        <w:rPr>
          <w:rFonts w:ascii="Times New Roman" w:eastAsia="Times New Roman" w:hAnsi="Times New Roman" w:cs="Times New Roman"/>
          <w:sz w:val="28"/>
          <w:szCs w:val="28"/>
        </w:rPr>
        <w:t>КНоп</w:t>
      </w:r>
      <w:proofErr w:type="spellEnd"/>
    </w:p>
    <w:p w:rsidR="00FD0A00" w:rsidRPr="003E755A" w:rsidRDefault="00171D55" w:rsidP="003E755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E755A">
        <w:rPr>
          <w:rFonts w:ascii="Times New Roman" w:eastAsia="Times New Roman" w:hAnsi="Times New Roman" w:cs="Times New Roman"/>
          <w:sz w:val="28"/>
          <w:szCs w:val="28"/>
        </w:rPr>
        <w:t>Дп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нпа</w:t>
      </w:r>
      <w:proofErr w:type="spellEnd"/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Доля </w:t>
      </w:r>
      <w:r w:rsidR="00EC57C5" w:rsidRPr="003E755A">
        <w:rPr>
          <w:rFonts w:ascii="Times New Roman" w:eastAsia="Times New Roman" w:hAnsi="Times New Roman" w:cs="Times New Roman"/>
          <w:sz w:val="28"/>
          <w:szCs w:val="28"/>
        </w:rPr>
        <w:t>проектов нормативных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правовых актов Администрации района в которых выявлены риски нарушения антимонопольного законодательства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D0A00" w:rsidRPr="003E755A" w:rsidRDefault="00171D55" w:rsidP="00171D5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E755A">
        <w:rPr>
          <w:rFonts w:ascii="Times New Roman" w:eastAsia="Times New Roman" w:hAnsi="Times New Roman" w:cs="Times New Roman"/>
          <w:sz w:val="28"/>
          <w:szCs w:val="28"/>
        </w:rPr>
        <w:t>Кп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нпа</w:t>
      </w:r>
      <w:proofErr w:type="spellEnd"/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</w:t>
      </w:r>
      <w:r w:rsidR="00EC57C5" w:rsidRPr="003E755A">
        <w:rPr>
          <w:rFonts w:ascii="Times New Roman" w:eastAsia="Times New Roman" w:hAnsi="Times New Roman" w:cs="Times New Roman"/>
          <w:sz w:val="28"/>
          <w:szCs w:val="28"/>
        </w:rPr>
        <w:t>проектов нормативных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правовых актов Администрации района в которых выявлены риски нарушения антимонопольного законодательства (в отчетном периоде);</w:t>
      </w:r>
    </w:p>
    <w:p w:rsidR="00FD0A00" w:rsidRPr="003E755A" w:rsidRDefault="00171D55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E755A">
        <w:rPr>
          <w:rFonts w:ascii="Times New Roman" w:eastAsia="Times New Roman" w:hAnsi="Times New Roman" w:cs="Times New Roman"/>
          <w:sz w:val="28"/>
          <w:szCs w:val="28"/>
        </w:rPr>
        <w:t>КНоп</w:t>
      </w:r>
      <w:proofErr w:type="spellEnd"/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 Администрации района в которых антимонопольным органом выявлены риски нарушения антимонопольного законодательства (в отчетном периоде);</w:t>
      </w:r>
    </w:p>
    <w:p w:rsidR="00FD0A00" w:rsidRPr="003E755A" w:rsidRDefault="00FD0A00" w:rsidP="00FD0A00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2" w:name="page5"/>
      <w:bookmarkEnd w:id="2"/>
    </w:p>
    <w:p w:rsidR="00FD0A00" w:rsidRPr="003E755A" w:rsidRDefault="00FD0A00" w:rsidP="00171D55">
      <w:pPr>
        <w:ind w:firstLine="708"/>
        <w:jc w:val="both"/>
        <w:rPr>
          <w:rFonts w:ascii="Times New Roman" w:eastAsia="Cambria Math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171D55" w:rsidRPr="003E755A">
        <w:rPr>
          <w:rFonts w:ascii="Times New Roman" w:eastAsia="Times New Roman" w:hAnsi="Times New Roman" w:cs="Times New Roman"/>
          <w:sz w:val="28"/>
          <w:szCs w:val="28"/>
        </w:rPr>
        <w:t>Доля нормативных правовых актов Администрации района в которых выявлены риски нарушения антимонопольного законодательства, рассчитывается по формуле:</w:t>
      </w:r>
    </w:p>
    <w:p w:rsidR="00FD0A00" w:rsidRPr="003E755A" w:rsidRDefault="00171D55" w:rsidP="00FD0A00">
      <w:pPr>
        <w:jc w:val="center"/>
        <w:rPr>
          <w:rFonts w:ascii="Times New Roman" w:eastAsia="Cambria Math" w:hAnsi="Times New Roman" w:cs="Times New Roman"/>
          <w:sz w:val="28"/>
          <w:szCs w:val="28"/>
          <w:u w:val="single"/>
        </w:rPr>
      </w:pPr>
      <w:proofErr w:type="spellStart"/>
      <w:r w:rsidRPr="003E755A">
        <w:rPr>
          <w:rFonts w:ascii="Times New Roman" w:eastAsia="Cambria Math" w:hAnsi="Times New Roman" w:cs="Times New Roman"/>
          <w:sz w:val="28"/>
          <w:szCs w:val="28"/>
        </w:rPr>
        <w:t>Днпа</w:t>
      </w:r>
      <w:proofErr w:type="spellEnd"/>
      <w:r w:rsidR="00FD0A00" w:rsidRPr="003E755A">
        <w:rPr>
          <w:rFonts w:ascii="Times New Roman" w:eastAsia="Cambria Math" w:hAnsi="Times New Roman" w:cs="Times New Roman"/>
          <w:sz w:val="28"/>
          <w:szCs w:val="28"/>
        </w:rPr>
        <w:t xml:space="preserve"> =</w:t>
      </w:r>
      <w:proofErr w:type="spellStart"/>
      <w:r w:rsidR="00AD59EA" w:rsidRPr="003E755A">
        <w:rPr>
          <w:rFonts w:ascii="Times New Roman" w:eastAsia="Cambria Math" w:hAnsi="Times New Roman" w:cs="Times New Roman"/>
          <w:sz w:val="28"/>
          <w:szCs w:val="28"/>
          <w:u w:val="single"/>
        </w:rPr>
        <w:t>Кнпа</w:t>
      </w:r>
      <w:proofErr w:type="spellEnd"/>
      <w:r w:rsidR="00AD59EA" w:rsidRPr="003E755A">
        <w:rPr>
          <w:rFonts w:ascii="Times New Roman" w:eastAsia="Cambria Math" w:hAnsi="Times New Roman" w:cs="Times New Roman"/>
          <w:sz w:val="28"/>
          <w:szCs w:val="28"/>
        </w:rPr>
        <w:t>, где</w:t>
      </w:r>
      <w:r w:rsidR="00FD0A00" w:rsidRPr="003E755A">
        <w:rPr>
          <w:rFonts w:ascii="Times New Roman" w:eastAsia="Cambria Math" w:hAnsi="Times New Roman" w:cs="Times New Roman"/>
          <w:sz w:val="28"/>
          <w:szCs w:val="28"/>
          <w:u w:val="single"/>
        </w:rPr>
        <w:t xml:space="preserve">    </w:t>
      </w:r>
    </w:p>
    <w:p w:rsidR="00FD0A00" w:rsidRPr="003E755A" w:rsidRDefault="003E755A" w:rsidP="003E755A">
      <w:pPr>
        <w:ind w:firstLine="708"/>
        <w:rPr>
          <w:rFonts w:ascii="Times New Roman" w:eastAsia="Cambria Math" w:hAnsi="Times New Roman" w:cs="Times New Roman"/>
          <w:sz w:val="28"/>
          <w:szCs w:val="28"/>
        </w:rPr>
      </w:pPr>
      <w:r>
        <w:rPr>
          <w:rFonts w:ascii="Times New Roman" w:eastAsia="Cambria Math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Cambria Math" w:hAnsi="Times New Roman" w:cs="Times New Roman"/>
          <w:sz w:val="28"/>
          <w:szCs w:val="28"/>
        </w:rPr>
        <w:tab/>
        <w:t xml:space="preserve">                         </w:t>
      </w:r>
      <w:proofErr w:type="spellStart"/>
      <w:r w:rsidR="00171D55" w:rsidRPr="003E755A">
        <w:rPr>
          <w:rFonts w:ascii="Times New Roman" w:eastAsia="Cambria Math" w:hAnsi="Times New Roman" w:cs="Times New Roman"/>
          <w:sz w:val="28"/>
          <w:szCs w:val="28"/>
        </w:rPr>
        <w:t>КНоп</w:t>
      </w:r>
      <w:proofErr w:type="spellEnd"/>
    </w:p>
    <w:p w:rsidR="00FD0A00" w:rsidRPr="003E755A" w:rsidRDefault="00171D55" w:rsidP="003E755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E755A">
        <w:rPr>
          <w:rFonts w:ascii="Times New Roman" w:eastAsia="Times New Roman" w:hAnsi="Times New Roman" w:cs="Times New Roman"/>
          <w:sz w:val="28"/>
          <w:szCs w:val="28"/>
        </w:rPr>
        <w:t>Д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нпа</w:t>
      </w:r>
      <w:proofErr w:type="spellEnd"/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Доля нормативных правовых актов Администрации района </w:t>
      </w:r>
      <w:r w:rsidR="00CA0C9D">
        <w:rPr>
          <w:rFonts w:ascii="Times New Roman" w:eastAsia="Times New Roman" w:hAnsi="Times New Roman" w:cs="Times New Roman"/>
          <w:sz w:val="28"/>
          <w:szCs w:val="28"/>
        </w:rPr>
        <w:br/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в которых выявлены риски нарушения антимонопольного законодательства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D0A00" w:rsidRPr="003E755A" w:rsidRDefault="00171D55" w:rsidP="003E755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E755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нпа</w:t>
      </w:r>
      <w:proofErr w:type="spellEnd"/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</w:t>
      </w:r>
      <w:r w:rsidR="001A711D" w:rsidRPr="003E755A">
        <w:rPr>
          <w:rFonts w:ascii="Times New Roman" w:eastAsia="Times New Roman" w:hAnsi="Times New Roman" w:cs="Times New Roman"/>
          <w:sz w:val="28"/>
          <w:szCs w:val="28"/>
        </w:rPr>
        <w:t xml:space="preserve">нормативных правовых актов Администрации района </w:t>
      </w:r>
      <w:r w:rsidR="00CA0C9D">
        <w:rPr>
          <w:rFonts w:ascii="Times New Roman" w:eastAsia="Times New Roman" w:hAnsi="Times New Roman" w:cs="Times New Roman"/>
          <w:sz w:val="28"/>
          <w:szCs w:val="28"/>
        </w:rPr>
        <w:br/>
      </w:r>
      <w:r w:rsidR="001A711D" w:rsidRPr="003E755A">
        <w:rPr>
          <w:rFonts w:ascii="Times New Roman" w:eastAsia="Times New Roman" w:hAnsi="Times New Roman" w:cs="Times New Roman"/>
          <w:sz w:val="28"/>
          <w:szCs w:val="28"/>
        </w:rPr>
        <w:t xml:space="preserve">в которых выявлены риски нарушения антимонопольного законодательства </w:t>
      </w:r>
      <w:r w:rsidR="001A711D" w:rsidRPr="003E755A">
        <w:rPr>
          <w:rFonts w:ascii="Times New Roman" w:eastAsia="Times New Roman" w:hAnsi="Times New Roman" w:cs="Times New Roman"/>
          <w:sz w:val="28"/>
          <w:szCs w:val="28"/>
        </w:rPr>
        <w:br/>
        <w:t>(в отчетном периоде)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D0A00" w:rsidRPr="003E755A" w:rsidRDefault="001A711D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E755A">
        <w:rPr>
          <w:rFonts w:ascii="Times New Roman" w:eastAsia="Times New Roman" w:hAnsi="Times New Roman" w:cs="Times New Roman"/>
          <w:sz w:val="28"/>
          <w:szCs w:val="28"/>
        </w:rPr>
        <w:t>КНоп</w:t>
      </w:r>
      <w:proofErr w:type="spellEnd"/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нормативных правовых актов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района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A0C9D">
        <w:rPr>
          <w:rFonts w:ascii="Times New Roman" w:eastAsia="Times New Roman" w:hAnsi="Times New Roman" w:cs="Times New Roman"/>
          <w:sz w:val="28"/>
          <w:szCs w:val="28"/>
        </w:rPr>
        <w:br/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в которых антимонопольным органом выявлены нарушения антимонопольного законодательства в отчетном году (единиц).</w:t>
      </w:r>
    </w:p>
    <w:p w:rsidR="001A711D" w:rsidRPr="003E755A" w:rsidRDefault="001A711D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A00" w:rsidRPr="003E755A" w:rsidRDefault="003E755A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При эффективном проведении мероприятий по анализу </w:t>
      </w:r>
      <w:r w:rsidR="001A711D" w:rsidRPr="003E755A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711D" w:rsidRPr="003E755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района, анализа прое</w:t>
      </w:r>
      <w:r w:rsidR="001A711D" w:rsidRPr="003E755A">
        <w:rPr>
          <w:rFonts w:ascii="Times New Roman" w:eastAsia="Times New Roman" w:hAnsi="Times New Roman" w:cs="Times New Roman"/>
          <w:sz w:val="28"/>
          <w:szCs w:val="28"/>
        </w:rPr>
        <w:t>ктов нормативных правовых актов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711D" w:rsidRPr="003E755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района, на предмет выявления рисков нарушения антимонопольного законодательства (то есть, при высоком значении числителя) должно наблюдаться уменьшение нормативных правовых актов Администрации района, в отношении которых антимонопольным органом выявлены нарушения антимонопольного законодательства (то есть, низкое значение знаменателя). Таким образом, значение КПЭ будет тем выше, чем эффективнее данные мероприятия антимонопольного </w:t>
      </w:r>
      <w:proofErr w:type="spellStart"/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будут осуществляться </w:t>
      </w:r>
      <w:r w:rsidR="00CA0C9D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Администрацией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 xml:space="preserve"> района,</w:t>
      </w:r>
      <w:r w:rsidR="00CA0C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и наоборот, при невысоком значении долей нормативных правовых актов и их проектов (числитель) наряду с высоким количеством выявленных антимонопольным органом нарушений антимонопольного законодательства</w:t>
      </w:r>
      <w:r w:rsidR="00CA0C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в таких актах (знаменатель), низкие значения КПЭ будут свидетельствовать</w:t>
      </w:r>
      <w:r w:rsidR="00CA0C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0A00" w:rsidRPr="003E755A">
        <w:rPr>
          <w:rFonts w:ascii="Times New Roman" w:eastAsia="Times New Roman" w:hAnsi="Times New Roman" w:cs="Times New Roman"/>
          <w:sz w:val="28"/>
          <w:szCs w:val="28"/>
        </w:rPr>
        <w:t>о низкой эффективности данных мероприятий.</w:t>
      </w:r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55A">
        <w:rPr>
          <w:rFonts w:ascii="Times New Roman" w:eastAsia="Times New Roman" w:hAnsi="Times New Roman" w:cs="Times New Roman"/>
          <w:sz w:val="28"/>
          <w:szCs w:val="28"/>
        </w:rPr>
        <w:t xml:space="preserve">В случае, если в отчетном году антимонопольным органом не выявлены нарушения антимонопольного законодательства в действующих нормативных </w:t>
      </w:r>
      <w:r w:rsidR="00CA0C9D">
        <w:rPr>
          <w:rFonts w:ascii="Times New Roman" w:eastAsia="Times New Roman" w:hAnsi="Times New Roman" w:cs="Times New Roman"/>
          <w:sz w:val="28"/>
          <w:szCs w:val="28"/>
        </w:rPr>
        <w:t>правовых актах, подготовленных А</w:t>
      </w:r>
      <w:r w:rsidRPr="003E755A">
        <w:rPr>
          <w:rFonts w:ascii="Times New Roman" w:eastAsia="Times New Roman" w:hAnsi="Times New Roman" w:cs="Times New Roman"/>
          <w:sz w:val="28"/>
          <w:szCs w:val="28"/>
        </w:rPr>
        <w:t>дминистрацией района, значение знаменателя при расчете данных КПЭ следует принимать за единицу.</w:t>
      </w:r>
    </w:p>
    <w:p w:rsidR="00FD0A00" w:rsidRPr="003E755A" w:rsidRDefault="00FD0A00" w:rsidP="00FD0A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A00" w:rsidRPr="003E755A" w:rsidRDefault="00FD0A00" w:rsidP="00FD0A00">
      <w:pPr>
        <w:rPr>
          <w:rFonts w:ascii="Times New Roman" w:hAnsi="Times New Roman" w:cs="Times New Roman"/>
          <w:sz w:val="28"/>
          <w:szCs w:val="28"/>
        </w:rPr>
      </w:pPr>
    </w:p>
    <w:p w:rsidR="004379D2" w:rsidRPr="003E755A" w:rsidRDefault="004379D2">
      <w:pPr>
        <w:rPr>
          <w:rFonts w:ascii="Times New Roman" w:hAnsi="Times New Roman" w:cs="Times New Roman"/>
          <w:sz w:val="28"/>
          <w:szCs w:val="28"/>
        </w:rPr>
      </w:pPr>
    </w:p>
    <w:sectPr w:rsidR="004379D2" w:rsidRPr="003E755A" w:rsidSect="003E755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79E2A9E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0A00"/>
    <w:rsid w:val="00011A61"/>
    <w:rsid w:val="00026532"/>
    <w:rsid w:val="000C5E35"/>
    <w:rsid w:val="00171D55"/>
    <w:rsid w:val="001A711D"/>
    <w:rsid w:val="00253ABA"/>
    <w:rsid w:val="003E755A"/>
    <w:rsid w:val="00410369"/>
    <w:rsid w:val="004379D2"/>
    <w:rsid w:val="004472A2"/>
    <w:rsid w:val="00455A73"/>
    <w:rsid w:val="00493C4B"/>
    <w:rsid w:val="005711DD"/>
    <w:rsid w:val="005B0085"/>
    <w:rsid w:val="005B2A6F"/>
    <w:rsid w:val="005B40F0"/>
    <w:rsid w:val="005F04B2"/>
    <w:rsid w:val="006C3CD6"/>
    <w:rsid w:val="006F38D0"/>
    <w:rsid w:val="0076045F"/>
    <w:rsid w:val="007A6252"/>
    <w:rsid w:val="00813A9C"/>
    <w:rsid w:val="00AA0C10"/>
    <w:rsid w:val="00AD59EA"/>
    <w:rsid w:val="00C12484"/>
    <w:rsid w:val="00C86C27"/>
    <w:rsid w:val="00CA0C9D"/>
    <w:rsid w:val="00EC57C5"/>
    <w:rsid w:val="00F747B8"/>
    <w:rsid w:val="00F80515"/>
    <w:rsid w:val="00FD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4589E"/>
  <w15:docId w15:val="{1AD5C1ED-203F-4C80-8E54-2FA4B12A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A0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45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045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Приёмная</cp:lastModifiedBy>
  <cp:revision>16</cp:revision>
  <cp:lastPrinted>2021-12-28T07:27:00Z</cp:lastPrinted>
  <dcterms:created xsi:type="dcterms:W3CDTF">2020-01-20T08:52:00Z</dcterms:created>
  <dcterms:modified xsi:type="dcterms:W3CDTF">2023-12-07T05:02:00Z</dcterms:modified>
</cp:coreProperties>
</file>