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43" w:rsidRPr="00EC1843" w:rsidRDefault="00EC1843" w:rsidP="00EC1843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ПРОГНОЗ</w:t>
      </w:r>
    </w:p>
    <w:p w:rsidR="00EC1843" w:rsidRPr="00EC1843" w:rsidRDefault="00EC1843" w:rsidP="00EC1843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>социально - экономического развития Исилькульского муниципального района Омской области на 202</w:t>
      </w:r>
      <w:r w:rsidR="00195185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 и на период до 202</w:t>
      </w:r>
      <w:r w:rsidR="00195185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</w:p>
    <w:p w:rsidR="00EC1843" w:rsidRPr="00EC1843" w:rsidRDefault="00EC1843" w:rsidP="00EC1843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C1843" w:rsidRPr="00EC1843" w:rsidRDefault="00EC1843" w:rsidP="00EC18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Прогноз социально-экономического развития Исилькульского муниципального района Омской области  на 202</w:t>
      </w:r>
      <w:r w:rsidR="00195185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 и на период до 202</w:t>
      </w:r>
      <w:r w:rsidR="00195185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 (далее - Прогноз) разработан на основе сценарных условий социально-экономического развития Исилькульского муниципального района Омской области (далее - района), с учетом задач и приоритетов социально-экономического развития района, а также с учетом итогов социально-экономического развития Исилькульского муниципального района Омской области за предшествующие годы,  фактически  складывающейся ситуации в текущем году, прогнозных данных о деятельности хозяйствующих субъектов, осуществляющих деятельность на территории Исилькульского муниципального района Омской области, на очередной финансовый год и плановый период. </w:t>
      </w:r>
    </w:p>
    <w:p w:rsidR="00EC1843" w:rsidRPr="00EC1843" w:rsidRDefault="00EC1843" w:rsidP="00EC184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Цель прогноза - сохранение и дальнейшее развитие основных тенденций экономического и социального развития Исилькульского муниципального района. </w:t>
      </w:r>
    </w:p>
    <w:p w:rsidR="00EC1843" w:rsidRPr="00EC1843" w:rsidRDefault="00EC1843" w:rsidP="00EC184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Задачи прогноза -  сохранение и укрепление экономического потенциала района, и повышение его конкурентоспособности, демографическое развитие и улучшение качества жизни населения.</w:t>
      </w:r>
    </w:p>
    <w:p w:rsidR="00EC1843" w:rsidRPr="00EC1843" w:rsidRDefault="00EC1843" w:rsidP="00EC184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Прогноз содержит систему ожидаемых в среднесрочной перспективе показателей социально-экономического развития района, основанную на реализации различных условий развития и используемую для принятия решений в управлении экономикой и социальной сферой Исилькульского муниципального района.</w:t>
      </w:r>
    </w:p>
    <w:p w:rsidR="00EC1843" w:rsidRPr="00EC1843" w:rsidRDefault="00EC1843" w:rsidP="00EC184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>Прогноз является основой для разработки планов и программ социально-экономического развития района, а также проекта бюджета Исилькульского муниципального района на очередной финансовый год и плановый период.</w:t>
      </w:r>
    </w:p>
    <w:p w:rsidR="00EC1843" w:rsidRPr="00EC1843" w:rsidRDefault="00EC1843" w:rsidP="00EC184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>При разработке Прогноза использовались следующие материалы:</w:t>
      </w:r>
    </w:p>
    <w:p w:rsidR="00EC1843" w:rsidRPr="00EC1843" w:rsidRDefault="00EC1843" w:rsidP="00EC1843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стратегия социально-экономического развития Омской области до 2030 года, утвержденная Указом Губернатора Омской области от 12 октября 2022 года № 543-п; </w:t>
      </w:r>
    </w:p>
    <w:p w:rsidR="00B425C4" w:rsidRPr="00B425C4" w:rsidRDefault="00B425C4" w:rsidP="00B425C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- 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стратегия социально-экономического развития Исилькульского муниципального района Омской области на период до 2030 года, утвержденная Решением Совета Исилькульского муниципального района Омской области от 17.09.2014 года № 82 с изменениями от 24.02.2022 г. № 5 и от 23.11.2022 </w:t>
      </w:r>
      <w:r w:rsidR="00B84750">
        <w:rPr>
          <w:rFonts w:ascii="Times New Roman" w:eastAsia="Times New Roman" w:hAnsi="Times New Roman" w:cs="Times New Roman"/>
          <w:color w:val="auto"/>
          <w:sz w:val="28"/>
          <w:szCs w:val="28"/>
        </w:rPr>
        <w:t>г. № 118; от 29.05.2024 г. № 56, от 25.09.2024 г. № 95.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При разработке Прогноза также использовались отчетные статистические данные Территориального органа Федеральной службы государственной статистики по Омской области, прогнозные и отчетные материалы о социально-экономическом развитии Исилькульского муниципального района Омской области.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Прогноз социально-экономического развития Исилькульского муниципального района Омской области на 2025 год и на период до 2027 года разработан на вариантной основе в составе двух основных вариантов - вариант 1 (базовый - консервативный) и вариант 2 (оптимистичный).</w:t>
      </w:r>
    </w:p>
    <w:p w:rsidR="00B425C4" w:rsidRPr="00B425C4" w:rsidRDefault="00B425C4" w:rsidP="00B425C4">
      <w:pPr>
        <w:spacing w:after="27"/>
        <w:ind w:right="28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 Первый вариант прогноза определен в качестве базового для целей среднесрочного бюджетного планирования и предусматривает сохранение основных тенденций развития отдельных отраслей экономики и социальной сферы, отсутствие значительных внешнеэкономических негативных явлений.                          </w:t>
      </w:r>
    </w:p>
    <w:p w:rsidR="00B425C4" w:rsidRPr="00B425C4" w:rsidRDefault="00B425C4" w:rsidP="00B425C4">
      <w:pPr>
        <w:ind w:left="14" w:right="28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Второй вариант прогноза предполагает более активную экономическую  и инвестиционную политику, которая будет обеспечивать  положительную динамику социально экономического развития Исилькульского муниципального района в результате замедления инфляционных процессов, восстановления темпов роста промышленного производства за счет создания новых и модернизации действующих производств, повышения инвестиционной и предпринимательской активности, восстановление потребительского спроса населения в условиях замедления инфляционных процессов.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Основные показатели Прогноза приведены в приложении к Прогнозу «Показатели прогноза социально-экономического развития Исилькульского муниципального района Омской области на 2025 год и на период до 2027 года».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Исилькульском муниципальном районе снижение численности населения происходит в связи с миграцией трудового населения с районных центров в областной, поэтому население в трудоспособном возрасте будет ежегодно сокращаться, демографическая ситуация в районе также не стабильна. Вследствие   устойчивой   тенденции к сокращению численности к концу 2027 года возможно снижение численности на 1598 - 1060 человека по первому и второму варианту соответственно. 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прогнозный период предполагается незначительное увеличение численности населения в трудоспособном возрасте, что приведет к увеличению численности рабочей силы (экономически активного населения). 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Основополагающим фактором, оказывающим влияние, как на естественное движение, так и на миграционные процессы, выступает половозрастная структура населения. На территории района сохраняется тенденция незначительного превышения численности женщин над численностью мужчин, так из общего количества населения на 01.01.2023 - 47,3 процента составляют мужчины, 52,7 процента -  женщины. Кроме того, к положительным факторам, характеризующим социально-демографические процессы в районе, можно отнести стабильное превышение количества заключаемых браков над количеством расторжения брачных союзов. За 2023 год в районе приходилось 283 заключенных брачных союзов, а число разводов -  178 (2022 год -  333 и 166 соответственно).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Стратегической целью повышения уровня жизни населения в Исилькульском муниципальном районе является устойчивое улучшение благосостояния, повышение уровня доходов и качества жизни населения.</w:t>
      </w:r>
    </w:p>
    <w:p w:rsidR="00B425C4" w:rsidRPr="00B425C4" w:rsidRDefault="00B425C4" w:rsidP="00B425C4">
      <w:pPr>
        <w:ind w:left="14" w:right="28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За прошедший 2023 год среднемесячная номинальная заработная плата составляла 39115,70 рублей, в среднесрочной перспективе прогнозируется улучшение показателей уровня жизни населения Исилькульского муниципального района (реальной заработной платы и реальных располагаемых доходов населения).</w:t>
      </w:r>
    </w:p>
    <w:p w:rsidR="00B425C4" w:rsidRPr="00B425C4" w:rsidRDefault="00B425C4" w:rsidP="008C022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2024 году прогнозируемый уровень среднемесячной заработной платы работников крупных и средних организаций вырастет к уровню 2023 года на 10,0 процентов. В целом за 2025 - 2027 годы среднемесячная номинальная начисленная заработная плата по Исилькульскому району вырастет на 9,0 </w:t>
      </w:r>
      <w:r w:rsidR="008C0220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21,6 процента и 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достигнет в 2027 году по первому варианту </w:t>
      </w:r>
      <w:r w:rsidR="008C02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– 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50566,90 руб., по второму варианту – 52346,30 рублей.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В 2025 - 2027 годах в экономике Исилькульского муниципального района Омской области прогнозируется незначительное увеличение инвестиционной активности предприятий на 1,9 – 5,0 процента и достигнет суммы 1 42</w:t>
      </w:r>
      <w:r w:rsidR="008C02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3 642,3 тыс. руб. и 1 480 423,1 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</w:t>
      </w:r>
      <w:r w:rsidR="008C02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лей 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по первому и второму варианту соответственно.</w:t>
      </w:r>
    </w:p>
    <w:p w:rsidR="00B425C4" w:rsidRPr="00B425C4" w:rsidRDefault="00B425C4" w:rsidP="00B425C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целью стимулирования инвестиционной активности на территории Исилькульского муниципального района, и поддержки перспективных инвестиционных проектов, реализация которых будет в полной мере отвечать приоритетам и целям, определенным в Стратегии социально-экономического развития Исилькульского муниципального района на среднесрочный и долгосрочный период, разработана нормативно-правовая база, на официальном сайте Исилькульского муниципального района </w:t>
      </w:r>
      <w:hyperlink r:id="rId8" w:history="1">
        <w:r w:rsidRPr="00B425C4">
          <w:rPr>
            <w:rFonts w:ascii="Times New Roman" w:eastAsia="Times New Roman" w:hAnsi="Times New Roman" w:cs="Times New Roman"/>
            <w:color w:val="0000FF"/>
            <w:u w:val="single"/>
          </w:rPr>
          <w:t>https://isilkmr.gosuslugi.ru/deyatelnost/napravleniya-deyatelnosti/investitsionnaya-deyatelnost/</w:t>
        </w:r>
      </w:hyperlink>
      <w:r w:rsidRPr="00B425C4">
        <w:rPr>
          <w:rFonts w:ascii="Times New Roman" w:eastAsia="Times New Roman" w:hAnsi="Times New Roman" w:cs="Times New Roman"/>
          <w:color w:val="auto"/>
        </w:rPr>
        <w:t xml:space="preserve"> 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действует раздел "Инвестиционная деятельность", где размещена информация об инвестиционных предложениях, проектах, инвестиционных площадках, об институтах развития поддержки предпринимательства и другая необходимая информация.</w:t>
      </w:r>
    </w:p>
    <w:p w:rsidR="00B425C4" w:rsidRPr="00B425C4" w:rsidRDefault="00B425C4" w:rsidP="00B425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sz w:val="28"/>
          <w:szCs w:val="28"/>
        </w:rPr>
        <w:t xml:space="preserve">В 2025 - 2027 годах продолжится активная работа по повышению инвестиционной привлекательности, способствующей развитию существующих производств и привлечению новых инвесторов на территорию 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Исилькульского муниципального</w:t>
      </w:r>
      <w:r w:rsidRPr="00B425C4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B425C4" w:rsidRPr="00B425C4" w:rsidRDefault="00B425C4" w:rsidP="00B425C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На фоне оптимизации бюджетных инвестиционных расходов, в прогнозный период 2025 - 2027 годов, необходимо направить усилия на наращивание частных инвестиций в основной капитал.</w:t>
      </w:r>
    </w:p>
    <w:p w:rsidR="00B425C4" w:rsidRPr="00B425C4" w:rsidRDefault="00B425C4" w:rsidP="00B425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Развитию инвестиционной деятельности </w:t>
      </w:r>
      <w:r w:rsidR="008C0220" w:rsidRPr="008C02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также 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будут способствовать меры по содействию развитию малого и среднего предпринимательства в Исилькульском муниципальном районе, в том числе: финансовая поддержка субъектов малого и среднего предпринимательства (организация и проведение конкурса на предоставление грантов); информационно-методическая поддержка субъектов малого и среднего предпринимательства (оказание консультативной и информационной поддержки).</w:t>
      </w:r>
    </w:p>
    <w:p w:rsidR="008F2737" w:rsidRDefault="00B425C4" w:rsidP="008F27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Объем производства продукции сельского хозяйства в хозяйствах всех категорий в 2027 году составит 100,1 – 106,1 процента к уровню 2024 года по первому и второму вариантам прогноза соответственно. Положительная динамика показателя обусловлена увеличением объемов производства продукции в отрасли растениеводства в результате применения высокоурожайных сортов сельскохозяйственных культур, осуществления комплекса мероприятий по повышению плодородия почв, оптимизации структуры посевных площадей и сельскохозяйственных угодий, сокращение сроков вегетации растений, улучшение качества и классности урожая.</w:t>
      </w:r>
    </w:p>
    <w:p w:rsidR="006B7343" w:rsidRPr="006B7343" w:rsidRDefault="006B7343" w:rsidP="008F273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Также ожидается увеличение производства продукции в отрасли животноводства в результате роста поголовья высокопродуктивных сельскохозяйственных животных, улучшение сортности молока, применения полноценных рационов кормления и высокоэнергетических кормов, совершенствования </w:t>
      </w:r>
      <w:proofErr w:type="spellStart"/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селекционно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племенной работы, применения современных технологий содержания, кормления животных и птицы, ввода в эксплуатацию </w:t>
      </w: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новых производственных мощностей и завершение реконструкции и модернизации действующих производств.</w:t>
      </w:r>
    </w:p>
    <w:p w:rsidR="006B7343" w:rsidRPr="006B7343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Сфера торговли, общественного питания и услуг населению не относится к числу основных видов экономической деятельности, однако играет существенную роль в социально-экономическом развитии территории.</w:t>
      </w:r>
    </w:p>
    <w:p w:rsidR="008F2737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Сектор характеризуется наименьшим уровнем бизнес-риска. В целом, благодаря стабильному спросу на продукты питания, гибкости по отношению к ассортиментной и ценовой политике для удержания оборотов торговли на относительно стабильном уровне.</w:t>
      </w:r>
    </w:p>
    <w:p w:rsidR="008F2737" w:rsidRDefault="008F2737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Большую роль в удовлетворении потребностей покупателей промышленными товарами и продуктами питания играют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индивидуальные предприниматели.</w:t>
      </w:r>
    </w:p>
    <w:p w:rsidR="00402B03" w:rsidRDefault="00402B0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B7343" w:rsidRPr="006B7343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Оборот розничной торговли в 2023 году составил 2751,1 млн. рублей в сопоставимых ценах. Оценка товарооборота 2024 года достигнет объема 3238,8 млн. рублей с учетом величины индекса дефлятора 2024 года 100,0 процентов.</w:t>
      </w:r>
    </w:p>
    <w:p w:rsidR="008F2737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Прогнозный период характеризуется не высокой потребительской активностью, который к 2027 году достигнет 101,5 процента и</w:t>
      </w:r>
      <w:r w:rsidR="008F2737">
        <w:rPr>
          <w:rFonts w:ascii="Times New Roman" w:eastAsia="Times New Roman" w:hAnsi="Times New Roman" w:cs="Times New Roman"/>
          <w:color w:val="auto"/>
          <w:sz w:val="28"/>
          <w:szCs w:val="28"/>
        </w:rPr>
        <w:t>ли 3287,4 млн. рублей.</w:t>
      </w:r>
    </w:p>
    <w:p w:rsidR="00402B03" w:rsidRDefault="00402B0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B7343" w:rsidRPr="006B7343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 2023 год объем ввода в действие жилых домов составил 7,1 тыс. кв. метров, продолжится реализация мер, направленных на улучшение жилищных условий населения. В 2024 году прогнозируемый объем ввода в действие жилых домов составит 7,2 тыс. кв. метров. На период 2025 – 2027 годы объем ввода общей площади жилых домов составит 7,1– 7,4 тыс. кв. метров по вариантам прогноза соответственно. </w:t>
      </w:r>
    </w:p>
    <w:p w:rsidR="006B7343" w:rsidRPr="006B7343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Трудовые ресурсы, и их качество, создание условий для сохранения и повышения уровня занятости населения во многом предопределяют социально-экономическое развитие Исилькульского муниципального района.</w:t>
      </w:r>
    </w:p>
    <w:p w:rsidR="006B7343" w:rsidRPr="006B7343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Численность экономически активного населения на 01.01.2024 года составила 16138 человек, по оценке 2024 года показатель определен на уровне 16170 человек (100,2 процента к уровню 2023 года). На период до 2027 года составит 16140 –16390 человек.</w:t>
      </w:r>
    </w:p>
    <w:p w:rsidR="006B7343" w:rsidRPr="006B7343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Численность официально зарегистрированных безработных в службе занятости населения района на 1 января 2024 года составила 302 человека, что на 13,5 процентов ниже уровня прошлого года, показатель уменьшился на 47 человек.</w:t>
      </w:r>
    </w:p>
    <w:p w:rsidR="006B7343" w:rsidRPr="006B7343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Прогнозная оценка развития занятости населения в 2025 - 2027 годах базируется на постепенном повышении востребованности трудовых ресурсов в экономике.</w:t>
      </w:r>
    </w:p>
    <w:p w:rsidR="009B484C" w:rsidRDefault="006B7343" w:rsidP="008F2737">
      <w:pPr>
        <w:keepLine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7343">
        <w:rPr>
          <w:rFonts w:ascii="Times New Roman" w:eastAsia="Times New Roman" w:hAnsi="Times New Roman" w:cs="Times New Roman"/>
          <w:color w:val="auto"/>
          <w:sz w:val="28"/>
          <w:szCs w:val="28"/>
        </w:rPr>
        <w:t>В среднесрочной перспективе на рынке труда в 2025 - 2027 годах показатель зарегистрированной безработицы прогнозируется не выше 1,5 процента от численности экономически активного населения Исилькульского муниципального района и составит к 2027 году 258 – 250 человек соответственно.</w:t>
      </w:r>
    </w:p>
    <w:p w:rsidR="00B425C4" w:rsidRPr="00B425C4" w:rsidRDefault="00B425C4" w:rsidP="00B425C4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В 2025 - 2027 годах прогнозируется постепенное восстановление положительной динамики основных показателей социально-экономического развития Исилькульского муниципального района, обусловленное стабилизацией макроэкономической ситуации, увеличением объемов инвестиций в основной капитал, повышением доступности кредитных ресурсов, замедлением роста цен.</w:t>
      </w:r>
    </w:p>
    <w:p w:rsidR="00B425C4" w:rsidRPr="00B425C4" w:rsidRDefault="00B425C4" w:rsidP="00B425C4">
      <w:pPr>
        <w:ind w:left="14" w:right="28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Минэкономразвития прогнозирует инфляцию в конце 2024 года в размере 5,1 процента к декабрю 2023 года. В 2024 г</w:t>
      </w:r>
      <w:r w:rsidR="008C0220">
        <w:rPr>
          <w:rFonts w:ascii="Times New Roman" w:eastAsia="Times New Roman" w:hAnsi="Times New Roman" w:cs="Times New Roman"/>
          <w:color w:val="auto"/>
          <w:sz w:val="28"/>
          <w:szCs w:val="28"/>
        </w:rPr>
        <w:t>оду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сохранятся высокие темпы роста реальных располагаемых денежных доходов населения - на уровне 5,2% (в 2023 г. - 5,4%). Основной вклад внесут как заработные платы работников организаций, так и доходы от предпринимательской деятельности. Существенное влияние также окажут меры комплексной социальной поддержки населению. Согласно прогнозу социально-экономического развития, в 2025</w:t>
      </w:r>
      <w:r w:rsidR="008C0220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2027 годах ожидается увеличение номинальных заработных плат в среднем на уровне 7,7% в год, также ожидается рост реальной заработной платы на 2,5%, в том числе за счет социальных выплат населению, предпринимательских доходов, прочих доходов. В целом за 2024 год уровень безработицы, по оценкам, составит 3,1 % от рабочей силы.</w:t>
      </w:r>
    </w:p>
    <w:p w:rsidR="00B425C4" w:rsidRPr="00B425C4" w:rsidRDefault="00B425C4" w:rsidP="00B425C4">
      <w:pPr>
        <w:ind w:left="14" w:right="28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В 2024 году ожидается постепенное восстановление инвестиционной активности в обрабатывающих отраслях, в том числе за счёт восстановления инвестиционного импорта в результате преодоления внешнего санкционного давления</w:t>
      </w:r>
      <w:r w:rsidR="008C0220">
        <w:rPr>
          <w:rFonts w:ascii="Times New Roman" w:eastAsia="Times New Roman" w:hAnsi="Times New Roman" w:cs="Times New Roman"/>
          <w:color w:val="auto"/>
          <w:sz w:val="28"/>
          <w:szCs w:val="28"/>
        </w:rPr>
        <w:t>, реализации программ по импорт</w:t>
      </w:r>
      <w:r w:rsidR="008C0220"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замещению</w:t>
      </w: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переориентации импортных поставок на дружественные и нейтральные страны. </w:t>
      </w:r>
    </w:p>
    <w:p w:rsidR="00B425C4" w:rsidRPr="00B425C4" w:rsidRDefault="00B425C4" w:rsidP="00B425C4">
      <w:pPr>
        <w:ind w:left="14" w:right="28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425C4">
        <w:rPr>
          <w:rFonts w:ascii="Times New Roman" w:eastAsia="Times New Roman" w:hAnsi="Times New Roman" w:cs="Times New Roman"/>
          <w:color w:val="auto"/>
          <w:sz w:val="28"/>
          <w:szCs w:val="28"/>
        </w:rPr>
        <w:t>Рост инвестиций ожидается за счет увеличения инвестиционной активности частного бизнеса, в том числе благодаря реализуемым Правительством Российской Федерации мерам поддержки, направленным на покрытие возможных рисков предпринимателей.</w:t>
      </w:r>
    </w:p>
    <w:p w:rsidR="00B425C4" w:rsidRPr="00B425C4" w:rsidRDefault="00B425C4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425C4" w:rsidRPr="00B425C4" w:rsidRDefault="00B425C4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425C4" w:rsidRPr="00B425C4" w:rsidRDefault="00B425C4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425C4" w:rsidRPr="00B425C4" w:rsidRDefault="00B425C4" w:rsidP="00B425C4">
      <w:pPr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B6548" w:rsidRDefault="008B6548" w:rsidP="00D36A83">
      <w:pPr>
        <w:autoSpaceDE w:val="0"/>
        <w:autoSpaceDN w:val="0"/>
        <w:adjustRightInd w:val="0"/>
        <w:ind w:right="-427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B6548" w:rsidRDefault="008B6548" w:rsidP="0067778D">
      <w:pPr>
        <w:autoSpaceDE w:val="0"/>
        <w:autoSpaceDN w:val="0"/>
        <w:adjustRightInd w:val="0"/>
        <w:ind w:right="-427"/>
        <w:jc w:val="center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B6548" w:rsidRDefault="008B6548" w:rsidP="0067778D">
      <w:pPr>
        <w:autoSpaceDE w:val="0"/>
        <w:autoSpaceDN w:val="0"/>
        <w:adjustRightInd w:val="0"/>
        <w:ind w:right="-427"/>
        <w:jc w:val="center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B6548" w:rsidRDefault="008B6548" w:rsidP="0067778D">
      <w:pPr>
        <w:autoSpaceDE w:val="0"/>
        <w:autoSpaceDN w:val="0"/>
        <w:adjustRightInd w:val="0"/>
        <w:ind w:right="-427"/>
        <w:jc w:val="center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425C4" w:rsidRDefault="00B425C4" w:rsidP="0067778D">
      <w:pPr>
        <w:autoSpaceDE w:val="0"/>
        <w:autoSpaceDN w:val="0"/>
        <w:adjustRightInd w:val="0"/>
        <w:ind w:right="-427"/>
        <w:jc w:val="center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425C4" w:rsidRDefault="00B425C4" w:rsidP="0067778D">
      <w:pPr>
        <w:autoSpaceDE w:val="0"/>
        <w:autoSpaceDN w:val="0"/>
        <w:adjustRightInd w:val="0"/>
        <w:ind w:right="-427"/>
        <w:jc w:val="center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425C4" w:rsidRDefault="00B425C4" w:rsidP="0067778D">
      <w:pPr>
        <w:autoSpaceDE w:val="0"/>
        <w:autoSpaceDN w:val="0"/>
        <w:adjustRightInd w:val="0"/>
        <w:ind w:right="-427"/>
        <w:jc w:val="center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425C4" w:rsidRDefault="00B425C4" w:rsidP="0067778D">
      <w:pPr>
        <w:autoSpaceDE w:val="0"/>
        <w:autoSpaceDN w:val="0"/>
        <w:adjustRightInd w:val="0"/>
        <w:ind w:right="-427"/>
        <w:jc w:val="center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425C4" w:rsidRDefault="00B425C4" w:rsidP="0067778D">
      <w:pPr>
        <w:autoSpaceDE w:val="0"/>
        <w:autoSpaceDN w:val="0"/>
        <w:adjustRightInd w:val="0"/>
        <w:ind w:right="-427"/>
        <w:jc w:val="center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84750" w:rsidRDefault="00B84750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B84750" w:rsidRDefault="00B84750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95E3E" w:rsidRDefault="00895E3E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95E3E" w:rsidRDefault="00895E3E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95E3E" w:rsidRDefault="00895E3E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343D3D" w:rsidRDefault="00343D3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8F2737" w:rsidRDefault="008F2737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77354D" w:rsidRDefault="0067778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354D" w:rsidRDefault="0077354D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9B04EB" w:rsidRPr="00B425C4" w:rsidRDefault="00EC1843" w:rsidP="00B425C4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EC1843">
        <w:rPr>
          <w:rFonts w:ascii="Times New Roman" w:eastAsia="Times New Roman" w:hAnsi="Times New Roman" w:cs="Times New Roman"/>
          <w:color w:val="auto"/>
          <w:sz w:val="20"/>
          <w:szCs w:val="20"/>
        </w:rPr>
        <w:t>Приложение</w:t>
      </w:r>
      <w:r w:rsidR="0067778D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EC1843">
        <w:rPr>
          <w:rFonts w:ascii="Times New Roman" w:eastAsia="Times New Roman" w:hAnsi="Times New Roman" w:cs="Times New Roman"/>
          <w:color w:val="auto"/>
          <w:sz w:val="20"/>
          <w:szCs w:val="20"/>
        </w:rPr>
        <w:t>к Прогнозу социально-экономического</w:t>
      </w:r>
      <w:r w:rsidR="0067778D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EC1843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развития Исилькульского муниципального </w:t>
      </w: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67778D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Pr="00EC1843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района Омской области на 202</w:t>
      </w:r>
      <w:r w:rsidR="00B425C4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5</w:t>
      </w:r>
      <w:r w:rsidRPr="00EC1843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год 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B654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</w:t>
      </w:r>
      <w:r w:rsidRPr="00EC1843">
        <w:rPr>
          <w:rFonts w:ascii="Times New Roman" w:eastAsia="Times New Roman" w:hAnsi="Times New Roman" w:cs="Times New Roman"/>
          <w:color w:val="auto"/>
          <w:sz w:val="20"/>
          <w:szCs w:val="20"/>
        </w:rPr>
        <w:t>и на период до 202</w:t>
      </w:r>
      <w:r w:rsidR="00B425C4">
        <w:rPr>
          <w:rFonts w:ascii="Times New Roman" w:eastAsia="Times New Roman" w:hAnsi="Times New Roman" w:cs="Times New Roman"/>
          <w:color w:val="auto"/>
          <w:sz w:val="20"/>
          <w:szCs w:val="20"/>
        </w:rPr>
        <w:t>7</w:t>
      </w:r>
      <w:r w:rsidRPr="00EC1843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года</w:t>
      </w:r>
    </w:p>
    <w:p w:rsidR="00EC1843" w:rsidRDefault="00EC1843" w:rsidP="00EC1843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EC1843" w:rsidRDefault="00EC1843" w:rsidP="00A62AF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62AF2" w:rsidRPr="00EC1843" w:rsidRDefault="00340F51" w:rsidP="00A62AF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C1843">
        <w:rPr>
          <w:rFonts w:ascii="Times New Roman" w:hAnsi="Times New Roman" w:cs="Times New Roman"/>
          <w:sz w:val="24"/>
          <w:szCs w:val="24"/>
        </w:rPr>
        <w:t>П</w:t>
      </w:r>
      <w:r w:rsidR="00A62AF2" w:rsidRPr="00EC1843">
        <w:rPr>
          <w:rFonts w:ascii="Times New Roman" w:hAnsi="Times New Roman" w:cs="Times New Roman"/>
          <w:sz w:val="24"/>
          <w:szCs w:val="24"/>
        </w:rPr>
        <w:t xml:space="preserve">ОКАЗАТЕЛИ  </w:t>
      </w:r>
    </w:p>
    <w:p w:rsidR="00A62AF2" w:rsidRPr="00EC1843" w:rsidRDefault="00A62AF2" w:rsidP="00A62AF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C1843">
        <w:rPr>
          <w:rFonts w:ascii="Times New Roman" w:hAnsi="Times New Roman" w:cs="Times New Roman"/>
          <w:sz w:val="24"/>
          <w:szCs w:val="24"/>
        </w:rPr>
        <w:t>прогноза социально-экономического развития Исилькульского муниципального</w:t>
      </w:r>
    </w:p>
    <w:p w:rsidR="00A62AF2" w:rsidRPr="00EC1843" w:rsidRDefault="00A62AF2" w:rsidP="00A62AF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C1843">
        <w:rPr>
          <w:rFonts w:ascii="Times New Roman" w:hAnsi="Times New Roman" w:cs="Times New Roman"/>
          <w:sz w:val="24"/>
          <w:szCs w:val="24"/>
        </w:rPr>
        <w:t>района Омской области на 20</w:t>
      </w:r>
      <w:r w:rsidR="00B20A58" w:rsidRPr="00EC1843">
        <w:rPr>
          <w:rFonts w:ascii="Times New Roman" w:hAnsi="Times New Roman" w:cs="Times New Roman"/>
          <w:sz w:val="24"/>
          <w:szCs w:val="24"/>
        </w:rPr>
        <w:t>2</w:t>
      </w:r>
      <w:r w:rsidR="00143809">
        <w:rPr>
          <w:rFonts w:ascii="Times New Roman" w:hAnsi="Times New Roman" w:cs="Times New Roman"/>
          <w:sz w:val="24"/>
          <w:szCs w:val="24"/>
        </w:rPr>
        <w:t xml:space="preserve">5 </w:t>
      </w:r>
      <w:r w:rsidRPr="00EC1843">
        <w:rPr>
          <w:rFonts w:ascii="Times New Roman" w:hAnsi="Times New Roman" w:cs="Times New Roman"/>
          <w:sz w:val="24"/>
          <w:szCs w:val="24"/>
        </w:rPr>
        <w:t>год</w:t>
      </w:r>
    </w:p>
    <w:p w:rsidR="006C5655" w:rsidRDefault="00A62AF2" w:rsidP="006C56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C1843">
        <w:rPr>
          <w:rFonts w:ascii="Times New Roman" w:hAnsi="Times New Roman" w:cs="Times New Roman"/>
          <w:sz w:val="24"/>
          <w:szCs w:val="24"/>
        </w:rPr>
        <w:t>и на период до 202</w:t>
      </w:r>
      <w:r w:rsidR="00143809">
        <w:rPr>
          <w:rFonts w:ascii="Times New Roman" w:hAnsi="Times New Roman" w:cs="Times New Roman"/>
          <w:sz w:val="24"/>
          <w:szCs w:val="24"/>
        </w:rPr>
        <w:t>7</w:t>
      </w:r>
      <w:r w:rsidRPr="00EC184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C5655" w:rsidRPr="006C5655" w:rsidRDefault="006C5655" w:rsidP="006C56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B425C4" w:rsidRPr="00B425C4" w:rsidTr="00343D3D">
        <w:trPr>
          <w:trHeight w:val="20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5C4" w:rsidRPr="00B425C4" w:rsidRDefault="00B425C4" w:rsidP="00B425C4">
            <w:pPr>
              <w:spacing w:line="240" w:lineRule="exact"/>
              <w:ind w:left="179" w:hanging="17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Единица</w:t>
            </w:r>
          </w:p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2023 год </w:t>
            </w: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факт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2024 год </w:t>
            </w: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оценка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2025 год</w:t>
            </w: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</w:p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прогноз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2026 год </w:t>
            </w:r>
          </w:p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прогноз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2027 год </w:t>
            </w:r>
          </w:p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прогноз</w:t>
            </w:r>
          </w:p>
        </w:tc>
      </w:tr>
      <w:tr w:rsidR="00B425C4" w:rsidRPr="00B425C4" w:rsidTr="00343D3D">
        <w:trPr>
          <w:trHeight w:val="53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 вари</w:t>
            </w: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вари</w:t>
            </w: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 вари</w:t>
            </w: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 вари</w:t>
            </w: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 вари</w:t>
            </w: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 вариант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5C4" w:rsidRPr="00B425C4" w:rsidRDefault="00B425C4" w:rsidP="00B425C4">
            <w:pPr>
              <w:spacing w:line="240" w:lineRule="exact"/>
              <w:ind w:right="-5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Численность </w:t>
            </w: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населения</w:t>
            </w:r>
            <w:r w:rsidRPr="00B425C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(среднегодовая)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35508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34950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34115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34610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34016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34200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33352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33890</w:t>
            </w:r>
          </w:p>
        </w:tc>
      </w:tr>
      <w:tr w:rsidR="00B425C4" w:rsidRPr="00B425C4" w:rsidTr="00343D3D">
        <w:trPr>
          <w:trHeight w:val="20"/>
        </w:trPr>
        <w:tc>
          <w:tcPr>
            <w:tcW w:w="11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</w:p>
          <w:p w:rsidR="00B425C4" w:rsidRPr="00B425C4" w:rsidRDefault="00B425C4" w:rsidP="00B425C4">
            <w:pPr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color w:val="auto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Обрабатывающие производства</w:t>
            </w:r>
          </w:p>
        </w:tc>
      </w:tr>
      <w:tr w:rsidR="00B425C4" w:rsidRPr="00B425C4" w:rsidTr="00343D3D">
        <w:trPr>
          <w:trHeight w:val="20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Объем отгруженных товаров собственного пр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оизводства, выполненных работ и </w:t>
            </w: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услуг собственными силами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68464,0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63540,5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67700,5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67810,2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67760,2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68081,4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68021,2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68353,7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8C0220" w:rsidP="008C0220">
            <w:pPr>
              <w:spacing w:line="240" w:lineRule="exact"/>
              <w:ind w:right="-57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 xml:space="preserve">Индекс </w:t>
            </w:r>
            <w:r w:rsidR="00B425C4" w:rsidRPr="00B425C4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промышленного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101,8</w:t>
            </w:r>
          </w:p>
        </w:tc>
      </w:tr>
      <w:tr w:rsidR="00B425C4" w:rsidRPr="00B425C4" w:rsidTr="00343D3D">
        <w:trPr>
          <w:trHeight w:val="20"/>
        </w:trPr>
        <w:tc>
          <w:tcPr>
            <w:tcW w:w="11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</w:pPr>
          </w:p>
          <w:p w:rsidR="00B425C4" w:rsidRPr="00B425C4" w:rsidRDefault="00B425C4" w:rsidP="00B425C4">
            <w:pPr>
              <w:keepNext/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281032,0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293842,3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281004,8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296780,4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295412,7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301232,1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298366,2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310269,5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8C0220">
            <w:pPr>
              <w:spacing w:line="240" w:lineRule="exact"/>
              <w:ind w:left="36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Индекс промышленного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101,5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101,0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36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Продукция сельского хозяйства в хозяйствах всех категорий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5722,6*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5837,1*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5366,6*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5953,8*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5420,2*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6072,9*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5844,5*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6194,4*</w:t>
            </w:r>
          </w:p>
        </w:tc>
      </w:tr>
      <w:tr w:rsidR="00B425C4" w:rsidRPr="00B425C4" w:rsidTr="00343D3D">
        <w:trPr>
          <w:trHeight w:val="13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179" w:right="-57" w:hanging="179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 w:rsidR="00B425C4" w:rsidRPr="00B425C4" w:rsidRDefault="00B425C4" w:rsidP="00B425C4">
            <w:pPr>
              <w:spacing w:line="240" w:lineRule="exact"/>
              <w:ind w:left="179" w:right="-57" w:hanging="179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Индекс-дефлятор</w:t>
            </w:r>
          </w:p>
          <w:p w:rsidR="00B425C4" w:rsidRPr="00B425C4" w:rsidRDefault="00B425C4" w:rsidP="00B425C4">
            <w:pPr>
              <w:spacing w:line="240" w:lineRule="exact"/>
              <w:ind w:left="179" w:right="-57" w:hanging="179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B425C4" w:rsidRPr="00B425C4" w:rsidRDefault="00B425C4" w:rsidP="00B425C4">
            <w:pPr>
              <w:spacing w:line="240" w:lineRule="exact"/>
              <w:ind w:left="179" w:right="-57" w:hanging="179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B425C4" w:rsidRPr="00B425C4" w:rsidRDefault="00B425C4" w:rsidP="00B425C4">
            <w:pPr>
              <w:spacing w:line="240" w:lineRule="exact"/>
              <w:ind w:left="179" w:right="-57" w:hanging="179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 к предыдущему году</w:t>
            </w:r>
          </w:p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B425C4" w:rsidRPr="00B425C4" w:rsidRDefault="00B425C4" w:rsidP="00B425C4">
            <w:pPr>
              <w:spacing w:line="240" w:lineRule="exact"/>
              <w:ind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lastRenderedPageBreak/>
              <w:t>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101,0</w:t>
            </w:r>
          </w:p>
        </w:tc>
      </w:tr>
      <w:tr w:rsidR="00B425C4" w:rsidRPr="00B425C4" w:rsidTr="00343D3D">
        <w:trPr>
          <w:trHeight w:val="17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0137C1">
            <w:pPr>
              <w:spacing w:line="240" w:lineRule="exact"/>
              <w:ind w:right="-57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lastRenderedPageBreak/>
              <w:t>Объем инвестиций (в основной капитал) за счет всех источников финансирования по полному кругу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1475454,0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1410564,0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1283122,6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1350655,4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1330135,8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1383356,7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1423642,3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1480423,1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Индекс-дефлятор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136,6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102,0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B425C4" w:rsidRPr="00B425C4" w:rsidRDefault="00B425C4" w:rsidP="00B425C4">
            <w:pPr>
              <w:keepNext/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Ввод жилья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sz w:val="20"/>
                <w:szCs w:val="20"/>
              </w:rPr>
              <w:t>тыс.</w:t>
            </w:r>
            <w:r w:rsidR="008C02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425C4">
              <w:rPr>
                <w:rFonts w:ascii="Times New Roman" w:eastAsia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keepNext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7,4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220" w:rsidRDefault="008C0220" w:rsidP="008C0220">
            <w:pPr>
              <w:spacing w:line="240" w:lineRule="exact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</w:p>
          <w:p w:rsidR="00B425C4" w:rsidRPr="00B425C4" w:rsidRDefault="00B425C4" w:rsidP="008C0220">
            <w:pPr>
              <w:spacing w:line="240" w:lineRule="exact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Темп роста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105,2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7C1" w:rsidRDefault="000137C1" w:rsidP="00B425C4">
            <w:pPr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Оборот розничной</w:t>
            </w:r>
          </w:p>
          <w:p w:rsidR="00B425C4" w:rsidRPr="00B425C4" w:rsidRDefault="00B425C4" w:rsidP="00B425C4">
            <w:pPr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торговли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2751070,0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3238837,5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3174060,7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3255031,8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3142319,4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3271225,9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3184624,8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3287420,1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Индекс-дефлятор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101,5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0137C1" w:rsidP="000137C1">
            <w:pPr>
              <w:spacing w:line="240" w:lineRule="exac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Оборот </w:t>
            </w:r>
            <w:r w:rsidR="00B425C4"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общественного питания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</w:rPr>
              <w:t>1203,5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1200,3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1210,2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1217,6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179" w:hanging="179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Индекс-дефлятор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100,5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0137C1">
            <w:pPr>
              <w:spacing w:line="24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Чис</w:t>
            </w:r>
            <w:r w:rsidR="000137C1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ленность экономически активного </w:t>
            </w: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населения (среднегодовая)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16138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16170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15004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15034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16030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16228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16140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16390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Фонд начисленной заработной платы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3061847,0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3903EE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3984468,9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3623776,9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3903EE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4234507,7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3818092,3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3903EE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4476815,4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3970816,0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3903EE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4707976,9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right="-57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ind w:left="-1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39115,7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ind w:left="-45" w:right="-10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43027,3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0A4DBC">
            <w:pPr>
              <w:ind w:left="-112" w:right="-1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  <w:r w:rsidR="000A4DBC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ind w:right="-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46890,5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0A4DBC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0A4DB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237,4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ind w:left="-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sz w:val="18"/>
                <w:szCs w:val="18"/>
              </w:rPr>
              <w:t>49918,40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0A4DBC" w:rsidP="000A4D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48</w:t>
            </w:r>
            <w:r w:rsidR="00B425C4"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52346,3</w:t>
            </w:r>
          </w:p>
        </w:tc>
      </w:tr>
      <w:tr w:rsidR="00B425C4" w:rsidRPr="00B425C4" w:rsidTr="00343D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36" w:right="-57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425C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Численность зарегистрированных безработных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5C4" w:rsidRPr="00B425C4" w:rsidRDefault="00B425C4" w:rsidP="00B425C4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5C4" w:rsidRPr="00B425C4" w:rsidRDefault="00B425C4" w:rsidP="00B425C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B425C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250</w:t>
            </w:r>
          </w:p>
        </w:tc>
      </w:tr>
    </w:tbl>
    <w:p w:rsidR="006C5655" w:rsidRDefault="006C5655" w:rsidP="00A62AF2">
      <w:pPr>
        <w:rPr>
          <w:rFonts w:ascii="Times New Roman" w:hAnsi="Times New Roman" w:cs="Times New Roman"/>
          <w:sz w:val="20"/>
          <w:szCs w:val="20"/>
        </w:rPr>
      </w:pPr>
    </w:p>
    <w:p w:rsidR="00A62AF2" w:rsidRDefault="005D45C5" w:rsidP="00A62AF2">
      <w:pPr>
        <w:rPr>
          <w:rFonts w:ascii="Times New Roman" w:hAnsi="Times New Roman" w:cs="Times New Roman"/>
          <w:sz w:val="20"/>
          <w:szCs w:val="20"/>
        </w:rPr>
      </w:pPr>
      <w:r w:rsidRPr="006C5655">
        <w:rPr>
          <w:rFonts w:ascii="Times New Roman" w:hAnsi="Times New Roman" w:cs="Times New Roman"/>
          <w:sz w:val="20"/>
          <w:szCs w:val="20"/>
        </w:rPr>
        <w:t>*</w:t>
      </w:r>
      <w:r w:rsidR="00656FF5" w:rsidRPr="006C5655">
        <w:rPr>
          <w:rFonts w:ascii="Times New Roman" w:hAnsi="Times New Roman" w:cs="Times New Roman"/>
          <w:sz w:val="20"/>
          <w:szCs w:val="20"/>
        </w:rPr>
        <w:t xml:space="preserve"> - </w:t>
      </w:r>
      <w:r w:rsidRPr="006C5655">
        <w:rPr>
          <w:rFonts w:ascii="Times New Roman" w:hAnsi="Times New Roman" w:cs="Times New Roman"/>
          <w:sz w:val="20"/>
          <w:szCs w:val="20"/>
        </w:rPr>
        <w:t>согласно данных полученных и рассчитанных от Управления сельского хозяйства Администрации Исилькульского муниципального района</w:t>
      </w:r>
    </w:p>
    <w:p w:rsidR="00025082" w:rsidRDefault="00025082" w:rsidP="00A62AF2">
      <w:pPr>
        <w:rPr>
          <w:rFonts w:ascii="Times New Roman" w:hAnsi="Times New Roman" w:cs="Times New Roman"/>
          <w:sz w:val="20"/>
          <w:szCs w:val="20"/>
        </w:rPr>
      </w:pPr>
    </w:p>
    <w:p w:rsidR="00AB2456" w:rsidRDefault="00AB2456" w:rsidP="00A62AF2">
      <w:pPr>
        <w:rPr>
          <w:rFonts w:ascii="Times New Roman" w:hAnsi="Times New Roman" w:cs="Times New Roman"/>
          <w:sz w:val="20"/>
          <w:szCs w:val="20"/>
        </w:rPr>
      </w:pPr>
    </w:p>
    <w:sectPr w:rsidR="00AB2456" w:rsidSect="00343D3D">
      <w:headerReference w:type="default" r:id="rId9"/>
      <w:type w:val="nextColumn"/>
      <w:pgSz w:w="11905" w:h="16837" w:code="9"/>
      <w:pgMar w:top="567" w:right="706" w:bottom="1134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FFD" w:rsidRDefault="00C12FFD" w:rsidP="001F4D31">
      <w:r>
        <w:separator/>
      </w:r>
    </w:p>
  </w:endnote>
  <w:endnote w:type="continuationSeparator" w:id="0">
    <w:p w:rsidR="00C12FFD" w:rsidRDefault="00C12FFD" w:rsidP="001F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FFD" w:rsidRDefault="00C12FFD"/>
  </w:footnote>
  <w:footnote w:type="continuationSeparator" w:id="0">
    <w:p w:rsidR="00C12FFD" w:rsidRDefault="00C12FF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830" w:rsidRDefault="00A50830">
    <w:pPr>
      <w:pStyle w:val="a9"/>
      <w:jc w:val="center"/>
    </w:pPr>
  </w:p>
  <w:p w:rsidR="00A50830" w:rsidRDefault="00A5083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25865"/>
    <w:multiLevelType w:val="multilevel"/>
    <w:tmpl w:val="B3B24AD0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912EB8"/>
    <w:multiLevelType w:val="hybridMultilevel"/>
    <w:tmpl w:val="FF260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0532E"/>
    <w:multiLevelType w:val="hybridMultilevel"/>
    <w:tmpl w:val="294E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574B2"/>
    <w:multiLevelType w:val="hybridMultilevel"/>
    <w:tmpl w:val="11E26818"/>
    <w:lvl w:ilvl="0" w:tplc="B8087978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BDE3690"/>
    <w:multiLevelType w:val="hybridMultilevel"/>
    <w:tmpl w:val="A7CCD446"/>
    <w:lvl w:ilvl="0" w:tplc="AE962FF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F4D31"/>
    <w:rsid w:val="00007116"/>
    <w:rsid w:val="000077EC"/>
    <w:rsid w:val="000137C1"/>
    <w:rsid w:val="0001389F"/>
    <w:rsid w:val="000157E6"/>
    <w:rsid w:val="00024966"/>
    <w:rsid w:val="00025082"/>
    <w:rsid w:val="000308FD"/>
    <w:rsid w:val="0003352C"/>
    <w:rsid w:val="00033F6F"/>
    <w:rsid w:val="000346CE"/>
    <w:rsid w:val="000551A1"/>
    <w:rsid w:val="00055594"/>
    <w:rsid w:val="00057F87"/>
    <w:rsid w:val="000613CF"/>
    <w:rsid w:val="00065165"/>
    <w:rsid w:val="00067256"/>
    <w:rsid w:val="00073A77"/>
    <w:rsid w:val="000747E9"/>
    <w:rsid w:val="00082975"/>
    <w:rsid w:val="00093DA1"/>
    <w:rsid w:val="000A1892"/>
    <w:rsid w:val="000A3095"/>
    <w:rsid w:val="000A3EE7"/>
    <w:rsid w:val="000A4DBC"/>
    <w:rsid w:val="000B1640"/>
    <w:rsid w:val="000B380E"/>
    <w:rsid w:val="000C2685"/>
    <w:rsid w:val="000C2A5A"/>
    <w:rsid w:val="000C3A62"/>
    <w:rsid w:val="000D2B75"/>
    <w:rsid w:val="000D6CBF"/>
    <w:rsid w:val="000D77F7"/>
    <w:rsid w:val="000E1658"/>
    <w:rsid w:val="000E46E6"/>
    <w:rsid w:val="000F3FB7"/>
    <w:rsid w:val="000F611B"/>
    <w:rsid w:val="0010139D"/>
    <w:rsid w:val="0010709F"/>
    <w:rsid w:val="00107336"/>
    <w:rsid w:val="00107F20"/>
    <w:rsid w:val="0012189F"/>
    <w:rsid w:val="001249F1"/>
    <w:rsid w:val="00142907"/>
    <w:rsid w:val="00143809"/>
    <w:rsid w:val="00153D3A"/>
    <w:rsid w:val="0015639A"/>
    <w:rsid w:val="00165949"/>
    <w:rsid w:val="00165A72"/>
    <w:rsid w:val="00172507"/>
    <w:rsid w:val="00173331"/>
    <w:rsid w:val="00173E40"/>
    <w:rsid w:val="00181C03"/>
    <w:rsid w:val="00181E62"/>
    <w:rsid w:val="00187620"/>
    <w:rsid w:val="00190D94"/>
    <w:rsid w:val="00193768"/>
    <w:rsid w:val="00193CD8"/>
    <w:rsid w:val="00194E98"/>
    <w:rsid w:val="00195185"/>
    <w:rsid w:val="001A077D"/>
    <w:rsid w:val="001A5564"/>
    <w:rsid w:val="001B245E"/>
    <w:rsid w:val="001B3409"/>
    <w:rsid w:val="001D03CF"/>
    <w:rsid w:val="001E16C2"/>
    <w:rsid w:val="001E3FE3"/>
    <w:rsid w:val="001F4D31"/>
    <w:rsid w:val="00207364"/>
    <w:rsid w:val="00207BBF"/>
    <w:rsid w:val="00214C06"/>
    <w:rsid w:val="00216555"/>
    <w:rsid w:val="0021727C"/>
    <w:rsid w:val="002219D5"/>
    <w:rsid w:val="002268C5"/>
    <w:rsid w:val="002350EA"/>
    <w:rsid w:val="0024630D"/>
    <w:rsid w:val="0025562C"/>
    <w:rsid w:val="00262EFF"/>
    <w:rsid w:val="002631EF"/>
    <w:rsid w:val="002713CE"/>
    <w:rsid w:val="00273817"/>
    <w:rsid w:val="0028094D"/>
    <w:rsid w:val="0029279D"/>
    <w:rsid w:val="00294E53"/>
    <w:rsid w:val="002A0A65"/>
    <w:rsid w:val="002A15F4"/>
    <w:rsid w:val="002A3B86"/>
    <w:rsid w:val="002A4DA0"/>
    <w:rsid w:val="002A5B1C"/>
    <w:rsid w:val="002A617D"/>
    <w:rsid w:val="002A64AE"/>
    <w:rsid w:val="002B1C4A"/>
    <w:rsid w:val="002D48D6"/>
    <w:rsid w:val="002D698A"/>
    <w:rsid w:val="002E23DE"/>
    <w:rsid w:val="002E50BF"/>
    <w:rsid w:val="002F22AA"/>
    <w:rsid w:val="0030009F"/>
    <w:rsid w:val="00305ED1"/>
    <w:rsid w:val="003323B8"/>
    <w:rsid w:val="00332CE1"/>
    <w:rsid w:val="003349F7"/>
    <w:rsid w:val="00335259"/>
    <w:rsid w:val="0033644A"/>
    <w:rsid w:val="00340F51"/>
    <w:rsid w:val="00343D3D"/>
    <w:rsid w:val="00344273"/>
    <w:rsid w:val="00344FB8"/>
    <w:rsid w:val="00355320"/>
    <w:rsid w:val="0037051B"/>
    <w:rsid w:val="00370F5D"/>
    <w:rsid w:val="00373E1C"/>
    <w:rsid w:val="00376A78"/>
    <w:rsid w:val="00380EEC"/>
    <w:rsid w:val="00381BE6"/>
    <w:rsid w:val="003903EE"/>
    <w:rsid w:val="003934C6"/>
    <w:rsid w:val="003945FD"/>
    <w:rsid w:val="0039579C"/>
    <w:rsid w:val="003A4BB5"/>
    <w:rsid w:val="003A77D2"/>
    <w:rsid w:val="003A7D4D"/>
    <w:rsid w:val="003B285C"/>
    <w:rsid w:val="003C1FCF"/>
    <w:rsid w:val="003D07BF"/>
    <w:rsid w:val="003D15C9"/>
    <w:rsid w:val="003D3862"/>
    <w:rsid w:val="003D44BA"/>
    <w:rsid w:val="003D4927"/>
    <w:rsid w:val="003E55DF"/>
    <w:rsid w:val="003F24C1"/>
    <w:rsid w:val="00402B03"/>
    <w:rsid w:val="00405235"/>
    <w:rsid w:val="00406B96"/>
    <w:rsid w:val="004118C8"/>
    <w:rsid w:val="00427A4C"/>
    <w:rsid w:val="00437F34"/>
    <w:rsid w:val="00440232"/>
    <w:rsid w:val="004424DB"/>
    <w:rsid w:val="00445994"/>
    <w:rsid w:val="00446D76"/>
    <w:rsid w:val="004470EA"/>
    <w:rsid w:val="00450A14"/>
    <w:rsid w:val="00456DB2"/>
    <w:rsid w:val="00460DEE"/>
    <w:rsid w:val="004611C1"/>
    <w:rsid w:val="00466040"/>
    <w:rsid w:val="00476CC1"/>
    <w:rsid w:val="00483209"/>
    <w:rsid w:val="0049345C"/>
    <w:rsid w:val="00495B74"/>
    <w:rsid w:val="004A2FC3"/>
    <w:rsid w:val="004B7CC4"/>
    <w:rsid w:val="004D3A79"/>
    <w:rsid w:val="004E20C1"/>
    <w:rsid w:val="004E2621"/>
    <w:rsid w:val="004E7034"/>
    <w:rsid w:val="004F2A2B"/>
    <w:rsid w:val="004F2C30"/>
    <w:rsid w:val="004F5C4D"/>
    <w:rsid w:val="00503E22"/>
    <w:rsid w:val="0052116D"/>
    <w:rsid w:val="005274D4"/>
    <w:rsid w:val="00530C6C"/>
    <w:rsid w:val="00537F34"/>
    <w:rsid w:val="00540ECC"/>
    <w:rsid w:val="00543656"/>
    <w:rsid w:val="005464BE"/>
    <w:rsid w:val="00555241"/>
    <w:rsid w:val="00575138"/>
    <w:rsid w:val="00581035"/>
    <w:rsid w:val="0058119E"/>
    <w:rsid w:val="00582DAF"/>
    <w:rsid w:val="00582F54"/>
    <w:rsid w:val="0058382F"/>
    <w:rsid w:val="005A1EB8"/>
    <w:rsid w:val="005A620B"/>
    <w:rsid w:val="005A70C9"/>
    <w:rsid w:val="005B3F83"/>
    <w:rsid w:val="005B4919"/>
    <w:rsid w:val="005C143F"/>
    <w:rsid w:val="005D1B4F"/>
    <w:rsid w:val="005D45C5"/>
    <w:rsid w:val="005D666A"/>
    <w:rsid w:val="005F0F61"/>
    <w:rsid w:val="005F487C"/>
    <w:rsid w:val="005F4966"/>
    <w:rsid w:val="005F7245"/>
    <w:rsid w:val="00600A18"/>
    <w:rsid w:val="0061166E"/>
    <w:rsid w:val="0062259F"/>
    <w:rsid w:val="00622785"/>
    <w:rsid w:val="00625A6C"/>
    <w:rsid w:val="00627214"/>
    <w:rsid w:val="0063617C"/>
    <w:rsid w:val="006373DE"/>
    <w:rsid w:val="006447AA"/>
    <w:rsid w:val="00645424"/>
    <w:rsid w:val="006454B7"/>
    <w:rsid w:val="0065587A"/>
    <w:rsid w:val="00656A7E"/>
    <w:rsid w:val="00656FF5"/>
    <w:rsid w:val="00663C83"/>
    <w:rsid w:val="006711F2"/>
    <w:rsid w:val="006758F1"/>
    <w:rsid w:val="00675BC5"/>
    <w:rsid w:val="0067778D"/>
    <w:rsid w:val="00680389"/>
    <w:rsid w:val="006926FD"/>
    <w:rsid w:val="006A6138"/>
    <w:rsid w:val="006A68C8"/>
    <w:rsid w:val="006A74E8"/>
    <w:rsid w:val="006B7343"/>
    <w:rsid w:val="006C4F5B"/>
    <w:rsid w:val="006C5655"/>
    <w:rsid w:val="006D00C9"/>
    <w:rsid w:val="006D5058"/>
    <w:rsid w:val="006E7B6B"/>
    <w:rsid w:val="00706976"/>
    <w:rsid w:val="007073D2"/>
    <w:rsid w:val="00714738"/>
    <w:rsid w:val="00727B6D"/>
    <w:rsid w:val="00730C0A"/>
    <w:rsid w:val="007313D2"/>
    <w:rsid w:val="00731499"/>
    <w:rsid w:val="00737E7C"/>
    <w:rsid w:val="00745485"/>
    <w:rsid w:val="0075023F"/>
    <w:rsid w:val="0075180B"/>
    <w:rsid w:val="00752EC2"/>
    <w:rsid w:val="00757740"/>
    <w:rsid w:val="0076291E"/>
    <w:rsid w:val="007656AA"/>
    <w:rsid w:val="00766BFB"/>
    <w:rsid w:val="0077354D"/>
    <w:rsid w:val="00774085"/>
    <w:rsid w:val="00776BDF"/>
    <w:rsid w:val="007913EE"/>
    <w:rsid w:val="00797817"/>
    <w:rsid w:val="007A220B"/>
    <w:rsid w:val="007A33D1"/>
    <w:rsid w:val="007A641E"/>
    <w:rsid w:val="007C1C26"/>
    <w:rsid w:val="007C7D07"/>
    <w:rsid w:val="007D2BC0"/>
    <w:rsid w:val="007E35D9"/>
    <w:rsid w:val="007E5055"/>
    <w:rsid w:val="007E5A8B"/>
    <w:rsid w:val="007F41EA"/>
    <w:rsid w:val="00803256"/>
    <w:rsid w:val="00810DBB"/>
    <w:rsid w:val="0081338B"/>
    <w:rsid w:val="0083465B"/>
    <w:rsid w:val="00842352"/>
    <w:rsid w:val="00844F7D"/>
    <w:rsid w:val="00856CCD"/>
    <w:rsid w:val="0086197E"/>
    <w:rsid w:val="00861C87"/>
    <w:rsid w:val="00865F43"/>
    <w:rsid w:val="00866698"/>
    <w:rsid w:val="00866D65"/>
    <w:rsid w:val="00871F3F"/>
    <w:rsid w:val="00886C4C"/>
    <w:rsid w:val="0089352D"/>
    <w:rsid w:val="008958E0"/>
    <w:rsid w:val="00895E3E"/>
    <w:rsid w:val="00896481"/>
    <w:rsid w:val="0089788D"/>
    <w:rsid w:val="008B6548"/>
    <w:rsid w:val="008C0220"/>
    <w:rsid w:val="008C3C51"/>
    <w:rsid w:val="008C46E8"/>
    <w:rsid w:val="008C6FBC"/>
    <w:rsid w:val="008D0579"/>
    <w:rsid w:val="008D7A4B"/>
    <w:rsid w:val="008E657E"/>
    <w:rsid w:val="008E6DDF"/>
    <w:rsid w:val="008F2672"/>
    <w:rsid w:val="008F2737"/>
    <w:rsid w:val="009073A4"/>
    <w:rsid w:val="00913E64"/>
    <w:rsid w:val="00915428"/>
    <w:rsid w:val="009225C6"/>
    <w:rsid w:val="009268F4"/>
    <w:rsid w:val="009403AB"/>
    <w:rsid w:val="00953A01"/>
    <w:rsid w:val="0097106A"/>
    <w:rsid w:val="009732F2"/>
    <w:rsid w:val="00976263"/>
    <w:rsid w:val="009849DE"/>
    <w:rsid w:val="00986667"/>
    <w:rsid w:val="009968F2"/>
    <w:rsid w:val="009A077A"/>
    <w:rsid w:val="009A6DD9"/>
    <w:rsid w:val="009B04EB"/>
    <w:rsid w:val="009B3893"/>
    <w:rsid w:val="009B484C"/>
    <w:rsid w:val="009B49AE"/>
    <w:rsid w:val="009C53A5"/>
    <w:rsid w:val="009C7C9A"/>
    <w:rsid w:val="009D28C7"/>
    <w:rsid w:val="009D3FD0"/>
    <w:rsid w:val="009D7ADC"/>
    <w:rsid w:val="009E1AAE"/>
    <w:rsid w:val="009E3B82"/>
    <w:rsid w:val="009F003B"/>
    <w:rsid w:val="009F3582"/>
    <w:rsid w:val="009F52B7"/>
    <w:rsid w:val="00A00D9A"/>
    <w:rsid w:val="00A02492"/>
    <w:rsid w:val="00A12670"/>
    <w:rsid w:val="00A246DA"/>
    <w:rsid w:val="00A2641D"/>
    <w:rsid w:val="00A33175"/>
    <w:rsid w:val="00A40230"/>
    <w:rsid w:val="00A50830"/>
    <w:rsid w:val="00A525B6"/>
    <w:rsid w:val="00A62AF2"/>
    <w:rsid w:val="00A72D8C"/>
    <w:rsid w:val="00A744BF"/>
    <w:rsid w:val="00A76AB0"/>
    <w:rsid w:val="00A91921"/>
    <w:rsid w:val="00AA51C3"/>
    <w:rsid w:val="00AB2456"/>
    <w:rsid w:val="00AB2E68"/>
    <w:rsid w:val="00AB6F76"/>
    <w:rsid w:val="00AD7AAB"/>
    <w:rsid w:val="00AE3C61"/>
    <w:rsid w:val="00AE4062"/>
    <w:rsid w:val="00AF4696"/>
    <w:rsid w:val="00AF65B7"/>
    <w:rsid w:val="00AF6BC7"/>
    <w:rsid w:val="00B02810"/>
    <w:rsid w:val="00B03CCB"/>
    <w:rsid w:val="00B0716B"/>
    <w:rsid w:val="00B1127F"/>
    <w:rsid w:val="00B127E1"/>
    <w:rsid w:val="00B14A61"/>
    <w:rsid w:val="00B15AC3"/>
    <w:rsid w:val="00B16ACD"/>
    <w:rsid w:val="00B20A58"/>
    <w:rsid w:val="00B21AA6"/>
    <w:rsid w:val="00B2252B"/>
    <w:rsid w:val="00B23912"/>
    <w:rsid w:val="00B37FD1"/>
    <w:rsid w:val="00B425C4"/>
    <w:rsid w:val="00B42F17"/>
    <w:rsid w:val="00B46340"/>
    <w:rsid w:val="00B464A0"/>
    <w:rsid w:val="00B65970"/>
    <w:rsid w:val="00B814F7"/>
    <w:rsid w:val="00B837B7"/>
    <w:rsid w:val="00B84750"/>
    <w:rsid w:val="00B84B7F"/>
    <w:rsid w:val="00B87013"/>
    <w:rsid w:val="00B91C0F"/>
    <w:rsid w:val="00B92AFB"/>
    <w:rsid w:val="00B945A7"/>
    <w:rsid w:val="00B9712C"/>
    <w:rsid w:val="00BA18B2"/>
    <w:rsid w:val="00BB06CE"/>
    <w:rsid w:val="00BB0F34"/>
    <w:rsid w:val="00BB387C"/>
    <w:rsid w:val="00BB795D"/>
    <w:rsid w:val="00BC3724"/>
    <w:rsid w:val="00BC69A5"/>
    <w:rsid w:val="00BD4299"/>
    <w:rsid w:val="00BD6066"/>
    <w:rsid w:val="00BD7493"/>
    <w:rsid w:val="00BE10C3"/>
    <w:rsid w:val="00BE2151"/>
    <w:rsid w:val="00BE4A6F"/>
    <w:rsid w:val="00BF05E3"/>
    <w:rsid w:val="00BF2D8D"/>
    <w:rsid w:val="00BF62F5"/>
    <w:rsid w:val="00C105E9"/>
    <w:rsid w:val="00C11BEB"/>
    <w:rsid w:val="00C12FFD"/>
    <w:rsid w:val="00C17509"/>
    <w:rsid w:val="00C21422"/>
    <w:rsid w:val="00C2236D"/>
    <w:rsid w:val="00C515F7"/>
    <w:rsid w:val="00C51C8B"/>
    <w:rsid w:val="00C52E5A"/>
    <w:rsid w:val="00C66EBF"/>
    <w:rsid w:val="00C7163B"/>
    <w:rsid w:val="00C80608"/>
    <w:rsid w:val="00C927BF"/>
    <w:rsid w:val="00CA36C9"/>
    <w:rsid w:val="00CA7082"/>
    <w:rsid w:val="00CB6DD3"/>
    <w:rsid w:val="00CC5194"/>
    <w:rsid w:val="00CC750E"/>
    <w:rsid w:val="00CE2ABF"/>
    <w:rsid w:val="00CF1716"/>
    <w:rsid w:val="00CF23DE"/>
    <w:rsid w:val="00CF2AAD"/>
    <w:rsid w:val="00CF61A2"/>
    <w:rsid w:val="00D01CBA"/>
    <w:rsid w:val="00D06A68"/>
    <w:rsid w:val="00D11361"/>
    <w:rsid w:val="00D24C68"/>
    <w:rsid w:val="00D25696"/>
    <w:rsid w:val="00D26A1F"/>
    <w:rsid w:val="00D36A83"/>
    <w:rsid w:val="00D510C2"/>
    <w:rsid w:val="00D54D93"/>
    <w:rsid w:val="00D57F35"/>
    <w:rsid w:val="00D61ACC"/>
    <w:rsid w:val="00D63DB9"/>
    <w:rsid w:val="00D6742B"/>
    <w:rsid w:val="00D71F45"/>
    <w:rsid w:val="00D811B2"/>
    <w:rsid w:val="00D8780A"/>
    <w:rsid w:val="00D917DA"/>
    <w:rsid w:val="00D94CB0"/>
    <w:rsid w:val="00D9521D"/>
    <w:rsid w:val="00D97C53"/>
    <w:rsid w:val="00DA0BD7"/>
    <w:rsid w:val="00DB65C0"/>
    <w:rsid w:val="00DC4718"/>
    <w:rsid w:val="00DC56D7"/>
    <w:rsid w:val="00DC5D1F"/>
    <w:rsid w:val="00DC62B2"/>
    <w:rsid w:val="00DD0C39"/>
    <w:rsid w:val="00DD3991"/>
    <w:rsid w:val="00DE68F2"/>
    <w:rsid w:val="00DF007D"/>
    <w:rsid w:val="00E23D71"/>
    <w:rsid w:val="00E24A4D"/>
    <w:rsid w:val="00E27A48"/>
    <w:rsid w:val="00E32CB0"/>
    <w:rsid w:val="00E35C79"/>
    <w:rsid w:val="00E36717"/>
    <w:rsid w:val="00E4457D"/>
    <w:rsid w:val="00E44AC4"/>
    <w:rsid w:val="00E519D0"/>
    <w:rsid w:val="00E54ADA"/>
    <w:rsid w:val="00E55202"/>
    <w:rsid w:val="00E60727"/>
    <w:rsid w:val="00E66AFE"/>
    <w:rsid w:val="00E80D30"/>
    <w:rsid w:val="00E87D6F"/>
    <w:rsid w:val="00EA2A13"/>
    <w:rsid w:val="00EA58CE"/>
    <w:rsid w:val="00EC0DBC"/>
    <w:rsid w:val="00EC1843"/>
    <w:rsid w:val="00EC1905"/>
    <w:rsid w:val="00EC6491"/>
    <w:rsid w:val="00ED0B7C"/>
    <w:rsid w:val="00ED69B2"/>
    <w:rsid w:val="00EF3AA2"/>
    <w:rsid w:val="00F023B4"/>
    <w:rsid w:val="00F0501C"/>
    <w:rsid w:val="00F11D88"/>
    <w:rsid w:val="00F23D1C"/>
    <w:rsid w:val="00F24E99"/>
    <w:rsid w:val="00F32C23"/>
    <w:rsid w:val="00F34856"/>
    <w:rsid w:val="00F349D8"/>
    <w:rsid w:val="00F35062"/>
    <w:rsid w:val="00F4743C"/>
    <w:rsid w:val="00F573ED"/>
    <w:rsid w:val="00F637C1"/>
    <w:rsid w:val="00F73D09"/>
    <w:rsid w:val="00F93F2B"/>
    <w:rsid w:val="00FA5A69"/>
    <w:rsid w:val="00FB3006"/>
    <w:rsid w:val="00FC0867"/>
    <w:rsid w:val="00FC3DAB"/>
    <w:rsid w:val="00FD1EB4"/>
    <w:rsid w:val="00FE19C8"/>
    <w:rsid w:val="00FE4048"/>
    <w:rsid w:val="00FE5034"/>
    <w:rsid w:val="00FF3EEC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8251"/>
  <w15:docId w15:val="{36FDFB85-168E-4007-BF00-BF6A50D3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4D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4D31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"/>
    <w:basedOn w:val="a5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pt">
    <w:name w:val="Основной текст + Интервал 2 pt"/>
    <w:basedOn w:val="a4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1">
    <w:name w:val="Основной текст1"/>
    <w:basedOn w:val="a"/>
    <w:link w:val="a4"/>
    <w:rsid w:val="001F4D3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1F4D3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">
    <w:name w:val="s_1"/>
    <w:basedOn w:val="a"/>
    <w:rsid w:val="0006516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10">
    <w:name w:val="s_10"/>
    <w:basedOn w:val="a0"/>
    <w:rsid w:val="00065165"/>
  </w:style>
  <w:style w:type="character" w:customStyle="1" w:styleId="apple-converted-space">
    <w:name w:val="apple-converted-space"/>
    <w:basedOn w:val="a0"/>
    <w:rsid w:val="00065165"/>
  </w:style>
  <w:style w:type="paragraph" w:styleId="a7">
    <w:name w:val="Normal (Web)"/>
    <w:basedOn w:val="a"/>
    <w:uiPriority w:val="99"/>
    <w:unhideWhenUsed/>
    <w:rsid w:val="002A4DA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s10">
    <w:name w:val="fs10"/>
    <w:basedOn w:val="a0"/>
    <w:rsid w:val="002A4DA0"/>
  </w:style>
  <w:style w:type="character" w:customStyle="1" w:styleId="ft23111">
    <w:name w:val="ft23111"/>
    <w:basedOn w:val="a0"/>
    <w:rsid w:val="00D8780A"/>
  </w:style>
  <w:style w:type="paragraph" w:styleId="a8">
    <w:name w:val="List Paragraph"/>
    <w:basedOn w:val="a"/>
    <w:uiPriority w:val="34"/>
    <w:qFormat/>
    <w:rsid w:val="00DC62B2"/>
    <w:pPr>
      <w:ind w:left="720"/>
      <w:contextualSpacing/>
    </w:pPr>
  </w:style>
  <w:style w:type="paragraph" w:customStyle="1" w:styleId="ConsPlusTitle">
    <w:name w:val="ConsPlusTitle"/>
    <w:rsid w:val="00A62A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A70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7082"/>
    <w:rPr>
      <w:color w:val="000000"/>
    </w:rPr>
  </w:style>
  <w:style w:type="paragraph" w:styleId="ab">
    <w:name w:val="footer"/>
    <w:basedOn w:val="a"/>
    <w:link w:val="ac"/>
    <w:uiPriority w:val="99"/>
    <w:unhideWhenUsed/>
    <w:rsid w:val="00CA70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7082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D57F3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57F3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28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3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0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2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ilkmr.gosuslugi.ru/deyatelnost/napravleniya-deyatelnosti/investitsionnaya-deyatelnos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B55B8-77F3-418A-AA34-4BE1E626B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5274</TotalTime>
  <Pages>7</Pages>
  <Words>2612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administration</Company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biro</dc:creator>
  <cp:keywords/>
  <dc:description/>
  <cp:lastModifiedBy>Любовь Ивко</cp:lastModifiedBy>
  <cp:revision>63</cp:revision>
  <cp:lastPrinted>2024-10-02T04:02:00Z</cp:lastPrinted>
  <dcterms:created xsi:type="dcterms:W3CDTF">2017-09-19T10:38:00Z</dcterms:created>
  <dcterms:modified xsi:type="dcterms:W3CDTF">2024-10-02T04:03:00Z</dcterms:modified>
</cp:coreProperties>
</file>