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13" w:rsidRDefault="00D92A89" w:rsidP="000C5B13">
      <w:pPr>
        <w:pStyle w:val="ConsPlusTitle"/>
        <w:widowControl/>
        <w:jc w:val="center"/>
      </w:pPr>
      <w:r>
        <w:t xml:space="preserve">                                         </w:t>
      </w:r>
    </w:p>
    <w:p w:rsidR="006B1EAB" w:rsidRDefault="006B1EAB" w:rsidP="000C5B13">
      <w:pPr>
        <w:pStyle w:val="ConsPlusTitle"/>
        <w:widowControl/>
        <w:jc w:val="center"/>
      </w:pPr>
    </w:p>
    <w:p w:rsidR="00E923DD" w:rsidRPr="001D55CD" w:rsidRDefault="00B72A53" w:rsidP="00E923D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23DD" w:rsidRPr="001D55CD">
        <w:rPr>
          <w:rFonts w:ascii="Times New Roman" w:hAnsi="Times New Roman" w:cs="Times New Roman"/>
          <w:sz w:val="28"/>
          <w:szCs w:val="28"/>
        </w:rPr>
        <w:t>ояснительная записка к прогнозу</w:t>
      </w:r>
    </w:p>
    <w:p w:rsidR="00E923DD" w:rsidRPr="001D55CD" w:rsidRDefault="00E923DD" w:rsidP="00E923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55CD">
        <w:rPr>
          <w:b/>
          <w:sz w:val="28"/>
          <w:szCs w:val="28"/>
        </w:rPr>
        <w:t>социально - экономического развития Исилькульского муниципального района Омской области на 20</w:t>
      </w:r>
      <w:r w:rsidR="00D4356B">
        <w:rPr>
          <w:b/>
          <w:sz w:val="28"/>
          <w:szCs w:val="28"/>
        </w:rPr>
        <w:t>2</w:t>
      </w:r>
      <w:r w:rsidR="002210AE">
        <w:rPr>
          <w:b/>
          <w:sz w:val="28"/>
          <w:szCs w:val="28"/>
        </w:rPr>
        <w:t>4</w:t>
      </w:r>
      <w:r w:rsidRPr="001D55CD">
        <w:rPr>
          <w:b/>
          <w:sz w:val="28"/>
          <w:szCs w:val="28"/>
        </w:rPr>
        <w:t xml:space="preserve"> год и на период до 20</w:t>
      </w:r>
      <w:r w:rsidR="0095537B" w:rsidRPr="001D55CD">
        <w:rPr>
          <w:b/>
          <w:sz w:val="28"/>
          <w:szCs w:val="28"/>
        </w:rPr>
        <w:t>2</w:t>
      </w:r>
      <w:r w:rsidR="002210AE">
        <w:rPr>
          <w:b/>
          <w:sz w:val="28"/>
          <w:szCs w:val="28"/>
        </w:rPr>
        <w:t>6</w:t>
      </w:r>
      <w:r w:rsidR="00E15555">
        <w:rPr>
          <w:b/>
          <w:sz w:val="28"/>
          <w:szCs w:val="28"/>
        </w:rPr>
        <w:t xml:space="preserve"> </w:t>
      </w:r>
      <w:r w:rsidRPr="001D55CD">
        <w:rPr>
          <w:b/>
          <w:sz w:val="28"/>
          <w:szCs w:val="28"/>
        </w:rPr>
        <w:t>года</w:t>
      </w:r>
    </w:p>
    <w:p w:rsidR="000C5B13" w:rsidRPr="001D55CD" w:rsidRDefault="000C5B13" w:rsidP="00E23C7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1239" w:rsidRDefault="00D66597" w:rsidP="00E23C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537B" w:rsidRPr="001D55CD">
        <w:rPr>
          <w:sz w:val="28"/>
          <w:szCs w:val="28"/>
        </w:rPr>
        <w:t>рогноз социально-экономического развития Исилькульского муниципального района Омской области  на 20</w:t>
      </w:r>
      <w:r w:rsidR="00D4356B">
        <w:rPr>
          <w:sz w:val="28"/>
          <w:szCs w:val="28"/>
        </w:rPr>
        <w:t>2</w:t>
      </w:r>
      <w:r w:rsidR="002210AE">
        <w:rPr>
          <w:sz w:val="28"/>
          <w:szCs w:val="28"/>
        </w:rPr>
        <w:t>4</w:t>
      </w:r>
      <w:r w:rsidR="0095537B" w:rsidRPr="001D55CD">
        <w:rPr>
          <w:sz w:val="28"/>
          <w:szCs w:val="28"/>
        </w:rPr>
        <w:t xml:space="preserve"> год и на период до 202</w:t>
      </w:r>
      <w:r w:rsidR="002210AE">
        <w:rPr>
          <w:sz w:val="28"/>
          <w:szCs w:val="28"/>
        </w:rPr>
        <w:t>6</w:t>
      </w:r>
      <w:r w:rsidR="0095537B" w:rsidRPr="001D55CD">
        <w:rPr>
          <w:sz w:val="28"/>
          <w:szCs w:val="28"/>
        </w:rPr>
        <w:t xml:space="preserve"> года (далее - Прогноз) разработан на основе сценарных условий социально-экономического развития Исилькульского муниципального района Омской области (далее - района), с учетом задач и приоритетов социально-экономического развития района, а также с учетом итогов социально-экономического развития Исилькульского муниципального района Омской области за предшествующие годы,  фактически  складывающейся ситуации в текущем году, прогнозных данных о деятельности хозяйствующих субъектов, осуществляющих деятельность на территории Исилькульского муниципального района Омской области, на очередной финансовый год и плановый период. </w:t>
      </w:r>
    </w:p>
    <w:p w:rsidR="003A3D7D" w:rsidRDefault="003A3D7D" w:rsidP="003A3D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прогноза - с</w:t>
      </w:r>
      <w:r w:rsidRPr="00786B54">
        <w:rPr>
          <w:sz w:val="28"/>
          <w:szCs w:val="28"/>
        </w:rPr>
        <w:t>охранение и дальнейшее развитие основных тенденций экономического и социального развития Исилькульского муниципального района</w:t>
      </w:r>
      <w:r>
        <w:rPr>
          <w:sz w:val="28"/>
          <w:szCs w:val="28"/>
        </w:rPr>
        <w:t xml:space="preserve">. </w:t>
      </w:r>
    </w:p>
    <w:p w:rsidR="003A3D7D" w:rsidRPr="001D55CD" w:rsidRDefault="003A3D7D" w:rsidP="003A3D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 прогноза - </w:t>
      </w:r>
      <w:r w:rsidRPr="00786B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86B54">
        <w:rPr>
          <w:sz w:val="28"/>
          <w:szCs w:val="28"/>
        </w:rPr>
        <w:t xml:space="preserve">охранение и укрепление экономического потенциала </w:t>
      </w:r>
      <w:r w:rsidR="00A96D53" w:rsidRPr="00786B54">
        <w:rPr>
          <w:sz w:val="28"/>
          <w:szCs w:val="28"/>
        </w:rPr>
        <w:t>района,</w:t>
      </w:r>
      <w:r w:rsidRPr="00786B54">
        <w:rPr>
          <w:sz w:val="28"/>
          <w:szCs w:val="28"/>
        </w:rPr>
        <w:t xml:space="preserve"> и повышение его конкурентоспособности</w:t>
      </w:r>
      <w:r>
        <w:rPr>
          <w:sz w:val="28"/>
          <w:szCs w:val="28"/>
        </w:rPr>
        <w:t>,</w:t>
      </w:r>
      <w:r w:rsidRPr="00786B5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86B54">
        <w:rPr>
          <w:sz w:val="28"/>
          <w:szCs w:val="28"/>
        </w:rPr>
        <w:t>емографическое развитие и улучшение качества жизни населения</w:t>
      </w:r>
      <w:r>
        <w:rPr>
          <w:sz w:val="28"/>
          <w:szCs w:val="28"/>
        </w:rPr>
        <w:t>.</w:t>
      </w:r>
    </w:p>
    <w:p w:rsidR="006B1EAB" w:rsidRPr="001D55CD" w:rsidRDefault="006B1EAB" w:rsidP="00E23C79">
      <w:pPr>
        <w:ind w:firstLine="709"/>
        <w:jc w:val="both"/>
        <w:rPr>
          <w:bCs/>
          <w:iCs/>
          <w:sz w:val="28"/>
          <w:szCs w:val="28"/>
        </w:rPr>
      </w:pPr>
      <w:r w:rsidRPr="001D55CD">
        <w:rPr>
          <w:bCs/>
          <w:iCs/>
          <w:sz w:val="28"/>
          <w:szCs w:val="28"/>
        </w:rPr>
        <w:t xml:space="preserve">Прогноз содержит систему ожидаемых в среднесрочной перспективе показателей социально-экономического развития </w:t>
      </w:r>
      <w:r w:rsidR="00F01239" w:rsidRPr="001D55CD">
        <w:rPr>
          <w:bCs/>
          <w:iCs/>
          <w:sz w:val="28"/>
          <w:szCs w:val="28"/>
        </w:rPr>
        <w:t>района</w:t>
      </w:r>
      <w:r w:rsidRPr="001D55CD">
        <w:rPr>
          <w:bCs/>
          <w:iCs/>
          <w:sz w:val="28"/>
          <w:szCs w:val="28"/>
        </w:rPr>
        <w:t xml:space="preserve">, основанную на реализации различных условий развития и используемую для принятия решений в управлении экономикой и социальной сферой </w:t>
      </w:r>
      <w:r w:rsidR="00F01239" w:rsidRPr="001D55CD">
        <w:rPr>
          <w:bCs/>
          <w:iCs/>
          <w:sz w:val="28"/>
          <w:szCs w:val="28"/>
        </w:rPr>
        <w:t>Исилькульского муниципального района.</w:t>
      </w:r>
    </w:p>
    <w:p w:rsidR="006B1EAB" w:rsidRPr="001D55CD" w:rsidRDefault="006B1EAB" w:rsidP="00E23C79">
      <w:pPr>
        <w:ind w:firstLine="709"/>
        <w:jc w:val="both"/>
        <w:rPr>
          <w:bCs/>
          <w:iCs/>
          <w:sz w:val="28"/>
          <w:szCs w:val="28"/>
        </w:rPr>
      </w:pPr>
      <w:r w:rsidRPr="001D55CD">
        <w:rPr>
          <w:bCs/>
          <w:iCs/>
          <w:sz w:val="28"/>
          <w:szCs w:val="28"/>
        </w:rPr>
        <w:t>Прогноз является основой для разработки планов и программ социальн</w:t>
      </w:r>
      <w:r w:rsidR="00F01239" w:rsidRPr="001D55CD">
        <w:rPr>
          <w:bCs/>
          <w:iCs/>
          <w:sz w:val="28"/>
          <w:szCs w:val="28"/>
        </w:rPr>
        <w:t>о-экономического развития района</w:t>
      </w:r>
      <w:r w:rsidRPr="001D55CD">
        <w:rPr>
          <w:bCs/>
          <w:iCs/>
          <w:sz w:val="28"/>
          <w:szCs w:val="28"/>
        </w:rPr>
        <w:t xml:space="preserve">, а также проекта бюджета </w:t>
      </w:r>
      <w:r w:rsidR="00F01239" w:rsidRPr="001D55CD">
        <w:rPr>
          <w:bCs/>
          <w:iCs/>
          <w:sz w:val="28"/>
          <w:szCs w:val="28"/>
        </w:rPr>
        <w:t>Исилькульского муниципального района</w:t>
      </w:r>
      <w:r w:rsidRPr="001D55CD">
        <w:rPr>
          <w:bCs/>
          <w:iCs/>
          <w:sz w:val="28"/>
          <w:szCs w:val="28"/>
        </w:rPr>
        <w:t xml:space="preserve"> на очередной финансовый год и плановый период.</w:t>
      </w:r>
    </w:p>
    <w:p w:rsidR="0095537B" w:rsidRPr="001D55CD" w:rsidRDefault="0095537B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>При разработке Прогноза использовались следующие материалы:</w:t>
      </w:r>
    </w:p>
    <w:p w:rsidR="00C919D9" w:rsidRDefault="00A65278" w:rsidP="00C91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 xml:space="preserve">- </w:t>
      </w:r>
      <w:r w:rsidR="0095537B" w:rsidRPr="001D55CD">
        <w:rPr>
          <w:sz w:val="28"/>
          <w:szCs w:val="28"/>
        </w:rPr>
        <w:t>стратегия социально-экономического развития Омской области до 20</w:t>
      </w:r>
      <w:r w:rsidR="002210AE">
        <w:rPr>
          <w:sz w:val="28"/>
          <w:szCs w:val="28"/>
        </w:rPr>
        <w:t>30</w:t>
      </w:r>
      <w:r w:rsidR="0095537B" w:rsidRPr="001D55CD">
        <w:rPr>
          <w:sz w:val="28"/>
          <w:szCs w:val="28"/>
        </w:rPr>
        <w:t xml:space="preserve"> года, утвержденная Указом Губернатора Омской области </w:t>
      </w:r>
      <w:r w:rsidR="002210AE" w:rsidRPr="002210AE">
        <w:rPr>
          <w:sz w:val="28"/>
          <w:szCs w:val="28"/>
        </w:rPr>
        <w:t>от 12 октября 2022 года N 543-п</w:t>
      </w:r>
      <w:r w:rsidR="0095537B" w:rsidRPr="001D55CD">
        <w:rPr>
          <w:sz w:val="28"/>
          <w:szCs w:val="28"/>
        </w:rPr>
        <w:t>;</w:t>
      </w:r>
      <w:r w:rsidR="00D1158A" w:rsidRPr="001D55CD">
        <w:rPr>
          <w:sz w:val="28"/>
          <w:szCs w:val="28"/>
        </w:rPr>
        <w:t xml:space="preserve"> </w:t>
      </w:r>
    </w:p>
    <w:p w:rsidR="00D1158A" w:rsidRPr="001D55CD" w:rsidRDefault="00C919D9" w:rsidP="00C91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158A" w:rsidRPr="001D55CD">
        <w:rPr>
          <w:sz w:val="28"/>
          <w:szCs w:val="28"/>
        </w:rPr>
        <w:t>стратегия социально-экономического развития Исилькульского муниципального района Омской области на период до 20</w:t>
      </w:r>
      <w:r w:rsidR="002210AE">
        <w:rPr>
          <w:sz w:val="28"/>
          <w:szCs w:val="28"/>
        </w:rPr>
        <w:t>30</w:t>
      </w:r>
      <w:r w:rsidR="00D1158A" w:rsidRPr="001D55CD">
        <w:rPr>
          <w:sz w:val="28"/>
          <w:szCs w:val="28"/>
        </w:rPr>
        <w:t xml:space="preserve"> года, утвержденная Решением Совета Исилькульского муниципального района Омской области от 17.09.2014 года № 82</w:t>
      </w:r>
      <w:r w:rsidR="009D24F9">
        <w:rPr>
          <w:sz w:val="28"/>
          <w:szCs w:val="28"/>
        </w:rPr>
        <w:t xml:space="preserve"> с изменениями от 24.02.2022 г</w:t>
      </w:r>
      <w:r>
        <w:rPr>
          <w:sz w:val="28"/>
          <w:szCs w:val="28"/>
        </w:rPr>
        <w:t>.</w:t>
      </w:r>
      <w:r w:rsidR="009D24F9">
        <w:rPr>
          <w:sz w:val="28"/>
          <w:szCs w:val="28"/>
        </w:rPr>
        <w:t xml:space="preserve"> № 5</w:t>
      </w:r>
      <w:r w:rsidR="002210AE">
        <w:rPr>
          <w:sz w:val="28"/>
          <w:szCs w:val="28"/>
        </w:rPr>
        <w:t xml:space="preserve"> и от 23.11.2022 г. № 118</w:t>
      </w:r>
      <w:r w:rsidR="00D1158A" w:rsidRPr="001D55CD">
        <w:rPr>
          <w:sz w:val="28"/>
          <w:szCs w:val="28"/>
        </w:rPr>
        <w:t>;</w:t>
      </w:r>
    </w:p>
    <w:p w:rsidR="0095537B" w:rsidRPr="001D55CD" w:rsidRDefault="00804AD5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>П</w:t>
      </w:r>
      <w:r w:rsidR="0095537B" w:rsidRPr="001D55CD">
        <w:rPr>
          <w:sz w:val="28"/>
          <w:szCs w:val="28"/>
        </w:rPr>
        <w:t xml:space="preserve">ри разработке Прогноза </w:t>
      </w:r>
      <w:r w:rsidRPr="001D55CD">
        <w:rPr>
          <w:sz w:val="28"/>
          <w:szCs w:val="28"/>
        </w:rPr>
        <w:t xml:space="preserve">также </w:t>
      </w:r>
      <w:r w:rsidR="0095537B" w:rsidRPr="001D55CD">
        <w:rPr>
          <w:sz w:val="28"/>
          <w:szCs w:val="28"/>
        </w:rPr>
        <w:t xml:space="preserve">использовались отчетные статистические данные Территориального органа Федеральной службы государственной статистики по Омской области, прогнозные </w:t>
      </w:r>
      <w:r w:rsidRPr="001D55CD">
        <w:rPr>
          <w:sz w:val="28"/>
          <w:szCs w:val="28"/>
        </w:rPr>
        <w:t xml:space="preserve">и отчетные </w:t>
      </w:r>
      <w:r w:rsidR="0095537B" w:rsidRPr="001D55CD">
        <w:rPr>
          <w:sz w:val="28"/>
          <w:szCs w:val="28"/>
        </w:rPr>
        <w:t>материалы о социально-экономическом развитии Исилькульского муниципального района Омской области.</w:t>
      </w:r>
    </w:p>
    <w:p w:rsidR="00CD2EAB" w:rsidRPr="001D55CD" w:rsidRDefault="00CD2EAB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lastRenderedPageBreak/>
        <w:t xml:space="preserve">  Прогноз социально-экономического развития Исилькульского муниципального района Омской </w:t>
      </w:r>
      <w:r w:rsidR="00750122" w:rsidRPr="001D55CD">
        <w:rPr>
          <w:sz w:val="28"/>
          <w:szCs w:val="28"/>
        </w:rPr>
        <w:t>области на</w:t>
      </w:r>
      <w:r w:rsidRPr="001D55CD">
        <w:rPr>
          <w:sz w:val="28"/>
          <w:szCs w:val="28"/>
        </w:rPr>
        <w:t xml:space="preserve"> 20</w:t>
      </w:r>
      <w:r w:rsidR="00D4356B">
        <w:rPr>
          <w:sz w:val="28"/>
          <w:szCs w:val="28"/>
        </w:rPr>
        <w:t>2</w:t>
      </w:r>
      <w:r w:rsidR="002210AE">
        <w:rPr>
          <w:sz w:val="28"/>
          <w:szCs w:val="28"/>
        </w:rPr>
        <w:t>4</w:t>
      </w:r>
      <w:r w:rsidRPr="001D55CD">
        <w:rPr>
          <w:sz w:val="28"/>
          <w:szCs w:val="28"/>
        </w:rPr>
        <w:t xml:space="preserve"> год и на период до 202</w:t>
      </w:r>
      <w:r w:rsidR="002210AE">
        <w:rPr>
          <w:sz w:val="28"/>
          <w:szCs w:val="28"/>
        </w:rPr>
        <w:t>6</w:t>
      </w:r>
      <w:r w:rsidR="009D24F9">
        <w:rPr>
          <w:sz w:val="28"/>
          <w:szCs w:val="28"/>
        </w:rPr>
        <w:t xml:space="preserve"> </w:t>
      </w:r>
      <w:r w:rsidRPr="001D55CD">
        <w:rPr>
          <w:sz w:val="28"/>
          <w:szCs w:val="28"/>
        </w:rPr>
        <w:t xml:space="preserve">года разработан на вариантной основе в </w:t>
      </w:r>
      <w:r w:rsidR="009572C7" w:rsidRPr="001D55CD">
        <w:rPr>
          <w:sz w:val="28"/>
          <w:szCs w:val="28"/>
        </w:rPr>
        <w:t>составе двух основных вариантов -</w:t>
      </w:r>
      <w:r w:rsidRPr="001D55CD">
        <w:rPr>
          <w:sz w:val="28"/>
          <w:szCs w:val="28"/>
        </w:rPr>
        <w:t xml:space="preserve"> вариант 1 (базовый</w:t>
      </w:r>
      <w:r w:rsidR="00B710E0" w:rsidRPr="001D55CD">
        <w:rPr>
          <w:sz w:val="28"/>
          <w:szCs w:val="28"/>
        </w:rPr>
        <w:t xml:space="preserve"> - консервативный</w:t>
      </w:r>
      <w:r w:rsidRPr="001D55CD">
        <w:rPr>
          <w:sz w:val="28"/>
          <w:szCs w:val="28"/>
        </w:rPr>
        <w:t>) и вариант 2 (</w:t>
      </w:r>
      <w:r w:rsidR="00B710E0" w:rsidRPr="001D55CD">
        <w:rPr>
          <w:sz w:val="28"/>
          <w:szCs w:val="28"/>
        </w:rPr>
        <w:t>оптимистичный</w:t>
      </w:r>
      <w:r w:rsidRPr="001D55CD">
        <w:rPr>
          <w:sz w:val="28"/>
          <w:szCs w:val="28"/>
        </w:rPr>
        <w:t>).</w:t>
      </w:r>
    </w:p>
    <w:p w:rsidR="00CD2EAB" w:rsidRPr="001D55CD" w:rsidRDefault="00E23C79" w:rsidP="00E23C79">
      <w:pPr>
        <w:spacing w:after="27"/>
        <w:ind w:right="28"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 xml:space="preserve"> </w:t>
      </w:r>
      <w:r w:rsidR="00CD2EAB" w:rsidRPr="001D55CD">
        <w:rPr>
          <w:sz w:val="28"/>
          <w:szCs w:val="28"/>
        </w:rPr>
        <w:t xml:space="preserve">Первый вариант прогноза определен в качестве базового для целей среднесрочного бюджетного планирования и предусматривает сохранение </w:t>
      </w:r>
      <w:r w:rsidR="00B710E0" w:rsidRPr="001D55CD">
        <w:rPr>
          <w:sz w:val="28"/>
          <w:szCs w:val="28"/>
        </w:rPr>
        <w:t xml:space="preserve">основных </w:t>
      </w:r>
      <w:r w:rsidR="00CD2EAB" w:rsidRPr="001D55CD">
        <w:rPr>
          <w:sz w:val="28"/>
          <w:szCs w:val="28"/>
        </w:rPr>
        <w:t>тенденций развития отдельных отраслей экономики и социальной сферы</w:t>
      </w:r>
      <w:r w:rsidR="00B710E0" w:rsidRPr="001D55CD">
        <w:rPr>
          <w:sz w:val="28"/>
          <w:szCs w:val="28"/>
        </w:rPr>
        <w:t>, отсутствие значительных внешнеэкономических негативных явлений.</w:t>
      </w:r>
      <w:r w:rsidR="00CD2EAB" w:rsidRPr="001D55CD">
        <w:rPr>
          <w:sz w:val="28"/>
          <w:szCs w:val="28"/>
        </w:rPr>
        <w:t xml:space="preserve">                          </w:t>
      </w:r>
    </w:p>
    <w:p w:rsidR="00CD2EAB" w:rsidRPr="001D55CD" w:rsidRDefault="00E23C79" w:rsidP="00E23C79">
      <w:pPr>
        <w:ind w:left="14" w:right="28"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 xml:space="preserve">  </w:t>
      </w:r>
      <w:r w:rsidR="00CD2EAB" w:rsidRPr="001D55CD">
        <w:rPr>
          <w:sz w:val="28"/>
          <w:szCs w:val="28"/>
        </w:rPr>
        <w:t xml:space="preserve">Второй вариант прогноза предполагает </w:t>
      </w:r>
      <w:r w:rsidR="00B710E0" w:rsidRPr="001D55CD">
        <w:rPr>
          <w:sz w:val="28"/>
          <w:szCs w:val="28"/>
        </w:rPr>
        <w:t xml:space="preserve">более активную экономическую  и инвестиционную политику, которая будет обеспечивать </w:t>
      </w:r>
      <w:r w:rsidR="00CD2EAB" w:rsidRPr="001D55CD">
        <w:rPr>
          <w:sz w:val="28"/>
          <w:szCs w:val="28"/>
        </w:rPr>
        <w:t xml:space="preserve"> положительную динамику социально экономического развития Исилькульского муниципального района в результате замедления инфляционных процессов, восстановления темпов роста промышленного производства за счет создания новых и модернизации действующих производств, повышения инвестиционной и предпринимательской активности, восстановление потребительского спроса населения в условиях замедления инфляционных процессов.</w:t>
      </w:r>
    </w:p>
    <w:p w:rsidR="0095537B" w:rsidRPr="001D55CD" w:rsidRDefault="008759CE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 xml:space="preserve">  </w:t>
      </w:r>
      <w:r w:rsidR="0095537B" w:rsidRPr="001D55CD">
        <w:rPr>
          <w:sz w:val="28"/>
          <w:szCs w:val="28"/>
        </w:rPr>
        <w:t xml:space="preserve">Основные показатели Прогноза приведены в приложении к Прогнозу </w:t>
      </w:r>
      <w:r w:rsidR="00D4356B">
        <w:rPr>
          <w:sz w:val="28"/>
          <w:szCs w:val="28"/>
        </w:rPr>
        <w:t>«</w:t>
      </w:r>
      <w:r w:rsidR="0095537B" w:rsidRPr="001D55CD">
        <w:rPr>
          <w:sz w:val="28"/>
          <w:szCs w:val="28"/>
        </w:rPr>
        <w:t xml:space="preserve">Показатели прогноза социально-экономического развития Исилькульского муниципального района Омской </w:t>
      </w:r>
      <w:r w:rsidR="00750122" w:rsidRPr="001D55CD">
        <w:rPr>
          <w:sz w:val="28"/>
          <w:szCs w:val="28"/>
        </w:rPr>
        <w:t>области на</w:t>
      </w:r>
      <w:r w:rsidR="0095537B" w:rsidRPr="001D55CD">
        <w:rPr>
          <w:sz w:val="28"/>
          <w:szCs w:val="28"/>
        </w:rPr>
        <w:t xml:space="preserve"> 20</w:t>
      </w:r>
      <w:r w:rsidR="00D4356B">
        <w:rPr>
          <w:sz w:val="28"/>
          <w:szCs w:val="28"/>
        </w:rPr>
        <w:t>2</w:t>
      </w:r>
      <w:r w:rsidR="002210AE">
        <w:rPr>
          <w:sz w:val="28"/>
          <w:szCs w:val="28"/>
        </w:rPr>
        <w:t>4</w:t>
      </w:r>
      <w:r w:rsidR="003630D9" w:rsidRPr="001D55CD">
        <w:rPr>
          <w:sz w:val="28"/>
          <w:szCs w:val="28"/>
        </w:rPr>
        <w:t xml:space="preserve"> </w:t>
      </w:r>
      <w:r w:rsidR="0095537B" w:rsidRPr="001D55CD">
        <w:rPr>
          <w:sz w:val="28"/>
          <w:szCs w:val="28"/>
        </w:rPr>
        <w:t>год и на период до 202</w:t>
      </w:r>
      <w:r w:rsidR="002210AE">
        <w:rPr>
          <w:sz w:val="28"/>
          <w:szCs w:val="28"/>
        </w:rPr>
        <w:t>6</w:t>
      </w:r>
      <w:r w:rsidR="00D4356B">
        <w:rPr>
          <w:sz w:val="28"/>
          <w:szCs w:val="28"/>
        </w:rPr>
        <w:t xml:space="preserve"> года»</w:t>
      </w:r>
      <w:r w:rsidR="0095537B" w:rsidRPr="001D55CD">
        <w:rPr>
          <w:sz w:val="28"/>
          <w:szCs w:val="28"/>
        </w:rPr>
        <w:t>.</w:t>
      </w:r>
    </w:p>
    <w:p w:rsidR="004D20DC" w:rsidRDefault="003C4FFB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 xml:space="preserve"> </w:t>
      </w:r>
      <w:r w:rsidR="008E4F00" w:rsidRPr="001D55CD">
        <w:rPr>
          <w:sz w:val="28"/>
          <w:szCs w:val="28"/>
        </w:rPr>
        <w:t>В Исилькульском муниципальном районе с</w:t>
      </w:r>
      <w:r w:rsidR="0095537B" w:rsidRPr="001D55CD">
        <w:rPr>
          <w:sz w:val="28"/>
          <w:szCs w:val="28"/>
        </w:rPr>
        <w:t xml:space="preserve">нижение численности населения </w:t>
      </w:r>
      <w:r w:rsidR="008E4F00" w:rsidRPr="001D55CD">
        <w:rPr>
          <w:sz w:val="28"/>
          <w:szCs w:val="28"/>
        </w:rPr>
        <w:t xml:space="preserve">происходит в связи </w:t>
      </w:r>
      <w:r w:rsidR="00750122" w:rsidRPr="001D55CD">
        <w:rPr>
          <w:sz w:val="28"/>
          <w:szCs w:val="28"/>
        </w:rPr>
        <w:t>с миграцией</w:t>
      </w:r>
      <w:r w:rsidR="0095537B" w:rsidRPr="001D55CD">
        <w:rPr>
          <w:sz w:val="28"/>
          <w:szCs w:val="28"/>
        </w:rPr>
        <w:t xml:space="preserve"> трудового населения с районных центров в областной, поэтому население в трудоспособном возрасте будет ежегодно сокращаться</w:t>
      </w:r>
      <w:r w:rsidR="004D20DC">
        <w:rPr>
          <w:sz w:val="28"/>
          <w:szCs w:val="28"/>
        </w:rPr>
        <w:t>,</w:t>
      </w:r>
      <w:r w:rsidR="0095537B" w:rsidRPr="007A354A">
        <w:rPr>
          <w:sz w:val="28"/>
          <w:szCs w:val="28"/>
        </w:rPr>
        <w:t xml:space="preserve"> </w:t>
      </w:r>
      <w:r w:rsidR="004D20DC">
        <w:rPr>
          <w:sz w:val="28"/>
          <w:szCs w:val="28"/>
        </w:rPr>
        <w:t>д</w:t>
      </w:r>
      <w:r w:rsidR="004D20DC" w:rsidRPr="004D20DC">
        <w:rPr>
          <w:sz w:val="28"/>
          <w:szCs w:val="28"/>
        </w:rPr>
        <w:t xml:space="preserve">емографическая ситуация в районе </w:t>
      </w:r>
      <w:r w:rsidR="004D20DC">
        <w:rPr>
          <w:sz w:val="28"/>
          <w:szCs w:val="28"/>
        </w:rPr>
        <w:t xml:space="preserve">также </w:t>
      </w:r>
      <w:r w:rsidR="004D20DC" w:rsidRPr="004D20DC">
        <w:rPr>
          <w:sz w:val="28"/>
          <w:szCs w:val="28"/>
        </w:rPr>
        <w:t>не стабильна</w:t>
      </w:r>
      <w:r w:rsidR="004D20DC">
        <w:rPr>
          <w:sz w:val="28"/>
          <w:szCs w:val="28"/>
        </w:rPr>
        <w:t>.</w:t>
      </w:r>
      <w:r w:rsidR="004D20DC" w:rsidRPr="004D20DC">
        <w:rPr>
          <w:sz w:val="28"/>
          <w:szCs w:val="28"/>
        </w:rPr>
        <w:t xml:space="preserve"> </w:t>
      </w:r>
      <w:r w:rsidR="008E4F00" w:rsidRPr="007A354A">
        <w:rPr>
          <w:sz w:val="28"/>
          <w:szCs w:val="28"/>
        </w:rPr>
        <w:t xml:space="preserve">Вследствие   устойчивой   </w:t>
      </w:r>
      <w:r w:rsidR="00F36362" w:rsidRPr="007A354A">
        <w:rPr>
          <w:sz w:val="28"/>
          <w:szCs w:val="28"/>
        </w:rPr>
        <w:t>тенденции к</w:t>
      </w:r>
      <w:r w:rsidR="008E4F00" w:rsidRPr="007A354A">
        <w:rPr>
          <w:sz w:val="28"/>
          <w:szCs w:val="28"/>
        </w:rPr>
        <w:t xml:space="preserve"> сокращению численности </w:t>
      </w:r>
      <w:r w:rsidR="003E3A66" w:rsidRPr="007A354A">
        <w:rPr>
          <w:sz w:val="28"/>
          <w:szCs w:val="28"/>
        </w:rPr>
        <w:t>к</w:t>
      </w:r>
      <w:r w:rsidR="008E4F00" w:rsidRPr="007A354A">
        <w:rPr>
          <w:sz w:val="28"/>
          <w:szCs w:val="28"/>
        </w:rPr>
        <w:t xml:space="preserve"> концу 202</w:t>
      </w:r>
      <w:r w:rsidR="004D20DC">
        <w:rPr>
          <w:sz w:val="28"/>
          <w:szCs w:val="28"/>
        </w:rPr>
        <w:t xml:space="preserve">6 </w:t>
      </w:r>
      <w:r w:rsidR="008E4F00" w:rsidRPr="007A354A">
        <w:rPr>
          <w:sz w:val="28"/>
          <w:szCs w:val="28"/>
        </w:rPr>
        <w:t xml:space="preserve">года возможно снижение численности на </w:t>
      </w:r>
      <w:r w:rsidR="00263970" w:rsidRPr="007A354A">
        <w:rPr>
          <w:sz w:val="28"/>
          <w:szCs w:val="28"/>
        </w:rPr>
        <w:t>1</w:t>
      </w:r>
      <w:r w:rsidR="004D20DC">
        <w:rPr>
          <w:sz w:val="28"/>
          <w:szCs w:val="28"/>
        </w:rPr>
        <w:t>4</w:t>
      </w:r>
      <w:r w:rsidR="00E30BA3">
        <w:rPr>
          <w:sz w:val="28"/>
          <w:szCs w:val="28"/>
        </w:rPr>
        <w:t>80</w:t>
      </w:r>
      <w:r w:rsidR="00F36362" w:rsidRPr="007A354A">
        <w:rPr>
          <w:sz w:val="28"/>
          <w:szCs w:val="28"/>
        </w:rPr>
        <w:t xml:space="preserve"> </w:t>
      </w:r>
      <w:r w:rsidR="00263970" w:rsidRPr="007A354A">
        <w:rPr>
          <w:sz w:val="28"/>
          <w:szCs w:val="28"/>
        </w:rPr>
        <w:t>-</w:t>
      </w:r>
      <w:r w:rsidR="00F8751E">
        <w:rPr>
          <w:sz w:val="28"/>
          <w:szCs w:val="28"/>
        </w:rPr>
        <w:t xml:space="preserve"> </w:t>
      </w:r>
      <w:r w:rsidR="004D20DC">
        <w:rPr>
          <w:sz w:val="28"/>
          <w:szCs w:val="28"/>
        </w:rPr>
        <w:t>1120</w:t>
      </w:r>
      <w:r w:rsidR="00F36362" w:rsidRPr="007A354A">
        <w:rPr>
          <w:sz w:val="28"/>
          <w:szCs w:val="28"/>
        </w:rPr>
        <w:t xml:space="preserve"> человека</w:t>
      </w:r>
      <w:r w:rsidR="008E4F00" w:rsidRPr="007A354A">
        <w:rPr>
          <w:sz w:val="28"/>
          <w:szCs w:val="28"/>
        </w:rPr>
        <w:t xml:space="preserve"> по </w:t>
      </w:r>
      <w:r w:rsidR="003E3A66" w:rsidRPr="007A354A">
        <w:rPr>
          <w:sz w:val="28"/>
          <w:szCs w:val="28"/>
        </w:rPr>
        <w:t>первому и второму варианту соответственно</w:t>
      </w:r>
      <w:r w:rsidR="008E4F00" w:rsidRPr="007A354A">
        <w:rPr>
          <w:sz w:val="28"/>
          <w:szCs w:val="28"/>
        </w:rPr>
        <w:t>.</w:t>
      </w:r>
      <w:r w:rsidR="00166A07" w:rsidRPr="007A354A">
        <w:rPr>
          <w:sz w:val="28"/>
          <w:szCs w:val="28"/>
        </w:rPr>
        <w:t xml:space="preserve"> </w:t>
      </w:r>
    </w:p>
    <w:p w:rsidR="007B2C46" w:rsidRPr="001D55CD" w:rsidRDefault="00166A07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 xml:space="preserve">В прогнозный период </w:t>
      </w:r>
      <w:r w:rsidR="00034094" w:rsidRPr="001D55CD">
        <w:rPr>
          <w:sz w:val="28"/>
          <w:szCs w:val="28"/>
        </w:rPr>
        <w:t>пре</w:t>
      </w:r>
      <w:r w:rsidR="00034094">
        <w:rPr>
          <w:sz w:val="28"/>
          <w:szCs w:val="28"/>
        </w:rPr>
        <w:t>дполагается</w:t>
      </w:r>
      <w:r w:rsidRPr="001D55CD">
        <w:rPr>
          <w:sz w:val="28"/>
          <w:szCs w:val="28"/>
        </w:rPr>
        <w:t xml:space="preserve"> </w:t>
      </w:r>
      <w:r w:rsidR="00034094">
        <w:rPr>
          <w:sz w:val="28"/>
          <w:szCs w:val="28"/>
        </w:rPr>
        <w:t>незначительное</w:t>
      </w:r>
      <w:r w:rsidRPr="001D55CD">
        <w:rPr>
          <w:sz w:val="28"/>
          <w:szCs w:val="28"/>
        </w:rPr>
        <w:t xml:space="preserve"> </w:t>
      </w:r>
      <w:r w:rsidR="00034094">
        <w:rPr>
          <w:sz w:val="28"/>
          <w:szCs w:val="28"/>
        </w:rPr>
        <w:t xml:space="preserve">увеличение </w:t>
      </w:r>
      <w:r w:rsidRPr="001D55CD">
        <w:rPr>
          <w:sz w:val="28"/>
          <w:szCs w:val="28"/>
        </w:rPr>
        <w:t>численности населения в трудоспособном возрасте, что приведет к у</w:t>
      </w:r>
      <w:r w:rsidR="00034094">
        <w:rPr>
          <w:sz w:val="28"/>
          <w:szCs w:val="28"/>
        </w:rPr>
        <w:t>величе</w:t>
      </w:r>
      <w:r w:rsidRPr="001D55CD">
        <w:rPr>
          <w:sz w:val="28"/>
          <w:szCs w:val="28"/>
        </w:rPr>
        <w:t>нию численности рабочей силы (экономически активного населения).</w:t>
      </w:r>
      <w:r w:rsidR="007B2C46" w:rsidRPr="001D55CD">
        <w:rPr>
          <w:sz w:val="28"/>
          <w:szCs w:val="28"/>
        </w:rPr>
        <w:t xml:space="preserve"> </w:t>
      </w:r>
    </w:p>
    <w:p w:rsidR="003333CB" w:rsidRPr="001D55CD" w:rsidRDefault="00FF5CBF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 xml:space="preserve">Основополагающим фактором, оказывающим влияние, как на естественное движение, так и на миграционные процессы, выступает половозрастная структура населения. На территории района сохраняется тенденция незначительного превышения численности женщин над численностью мужчин, так из общего количества </w:t>
      </w:r>
      <w:r w:rsidRPr="007A354A">
        <w:rPr>
          <w:sz w:val="28"/>
          <w:szCs w:val="28"/>
        </w:rPr>
        <w:t xml:space="preserve">населения </w:t>
      </w:r>
      <w:r w:rsidRPr="00247F53">
        <w:rPr>
          <w:sz w:val="28"/>
          <w:szCs w:val="28"/>
        </w:rPr>
        <w:t>на 01.01.20</w:t>
      </w:r>
      <w:r w:rsidR="0056114C" w:rsidRPr="00247F53">
        <w:rPr>
          <w:sz w:val="28"/>
          <w:szCs w:val="28"/>
        </w:rPr>
        <w:t>2</w:t>
      </w:r>
      <w:r w:rsidR="00E30BA3" w:rsidRPr="00247F53">
        <w:rPr>
          <w:sz w:val="28"/>
          <w:szCs w:val="28"/>
        </w:rPr>
        <w:t>2</w:t>
      </w:r>
      <w:r w:rsidRPr="00247F53">
        <w:rPr>
          <w:sz w:val="28"/>
          <w:szCs w:val="28"/>
        </w:rPr>
        <w:t xml:space="preserve"> </w:t>
      </w:r>
      <w:r w:rsidR="009572C7" w:rsidRPr="00247F53">
        <w:rPr>
          <w:sz w:val="28"/>
          <w:szCs w:val="28"/>
        </w:rPr>
        <w:t>-</w:t>
      </w:r>
      <w:r w:rsidRPr="00247F53">
        <w:rPr>
          <w:sz w:val="28"/>
          <w:szCs w:val="28"/>
        </w:rPr>
        <w:t xml:space="preserve"> 4</w:t>
      </w:r>
      <w:r w:rsidR="00B6295E" w:rsidRPr="00247F53">
        <w:rPr>
          <w:sz w:val="28"/>
          <w:szCs w:val="28"/>
        </w:rPr>
        <w:t>7,</w:t>
      </w:r>
      <w:r w:rsidR="00E30BA3" w:rsidRPr="00247F53">
        <w:rPr>
          <w:sz w:val="28"/>
          <w:szCs w:val="28"/>
        </w:rPr>
        <w:t>6</w:t>
      </w:r>
      <w:r w:rsidR="00417D48" w:rsidRPr="00247F53">
        <w:rPr>
          <w:sz w:val="28"/>
          <w:szCs w:val="28"/>
        </w:rPr>
        <w:t xml:space="preserve"> процента</w:t>
      </w:r>
      <w:r w:rsidRPr="00247F53">
        <w:rPr>
          <w:sz w:val="28"/>
          <w:szCs w:val="28"/>
        </w:rPr>
        <w:t xml:space="preserve"> составляют мужчины, 52</w:t>
      </w:r>
      <w:r w:rsidR="00B6295E" w:rsidRPr="00247F53">
        <w:rPr>
          <w:sz w:val="28"/>
          <w:szCs w:val="28"/>
        </w:rPr>
        <w:t>,</w:t>
      </w:r>
      <w:r w:rsidR="00E30BA3" w:rsidRPr="00247F53">
        <w:rPr>
          <w:sz w:val="28"/>
          <w:szCs w:val="28"/>
        </w:rPr>
        <w:t>4</w:t>
      </w:r>
      <w:r w:rsidR="00417D48" w:rsidRPr="00247F53">
        <w:rPr>
          <w:sz w:val="28"/>
          <w:szCs w:val="28"/>
        </w:rPr>
        <w:t xml:space="preserve"> процента</w:t>
      </w:r>
      <w:r w:rsidRPr="00247F53">
        <w:rPr>
          <w:sz w:val="28"/>
          <w:szCs w:val="28"/>
        </w:rPr>
        <w:t xml:space="preserve"> </w:t>
      </w:r>
      <w:r w:rsidR="009572C7" w:rsidRPr="00247F53">
        <w:rPr>
          <w:sz w:val="28"/>
          <w:szCs w:val="28"/>
        </w:rPr>
        <w:t xml:space="preserve">- </w:t>
      </w:r>
      <w:r w:rsidRPr="00247F53">
        <w:rPr>
          <w:sz w:val="28"/>
          <w:szCs w:val="28"/>
        </w:rPr>
        <w:t xml:space="preserve"> женщины. Кроме того, к положительным факторам, характеризующим социально-демографические процессы в районе, можно отнести стабильное превышение количества</w:t>
      </w:r>
      <w:r w:rsidRPr="001D55CD">
        <w:rPr>
          <w:sz w:val="28"/>
          <w:szCs w:val="28"/>
        </w:rPr>
        <w:t xml:space="preserve"> заключаемых браков над количеством расторжения брачных союзов</w:t>
      </w:r>
      <w:r w:rsidRPr="00385403">
        <w:rPr>
          <w:sz w:val="28"/>
          <w:szCs w:val="28"/>
        </w:rPr>
        <w:t xml:space="preserve">. </w:t>
      </w:r>
      <w:r w:rsidR="00784C23" w:rsidRPr="00385403">
        <w:rPr>
          <w:sz w:val="28"/>
          <w:szCs w:val="28"/>
        </w:rPr>
        <w:t>За 202</w:t>
      </w:r>
      <w:r w:rsidR="00BE4F88">
        <w:rPr>
          <w:sz w:val="28"/>
          <w:szCs w:val="28"/>
        </w:rPr>
        <w:t>2</w:t>
      </w:r>
      <w:r w:rsidR="00385403" w:rsidRPr="00385403">
        <w:rPr>
          <w:sz w:val="28"/>
          <w:szCs w:val="28"/>
        </w:rPr>
        <w:t xml:space="preserve"> год</w:t>
      </w:r>
      <w:r w:rsidRPr="00385403">
        <w:rPr>
          <w:sz w:val="28"/>
          <w:szCs w:val="28"/>
        </w:rPr>
        <w:t xml:space="preserve"> </w:t>
      </w:r>
      <w:r w:rsidR="00784C23">
        <w:rPr>
          <w:sz w:val="28"/>
          <w:szCs w:val="28"/>
        </w:rPr>
        <w:t xml:space="preserve">в </w:t>
      </w:r>
      <w:r w:rsidR="00784C23" w:rsidRPr="00385403">
        <w:rPr>
          <w:sz w:val="28"/>
          <w:szCs w:val="28"/>
        </w:rPr>
        <w:t>районе</w:t>
      </w:r>
      <w:r w:rsidRPr="00385403">
        <w:rPr>
          <w:sz w:val="28"/>
          <w:szCs w:val="28"/>
        </w:rPr>
        <w:t xml:space="preserve"> приходилось </w:t>
      </w:r>
      <w:r w:rsidR="00BE4F88">
        <w:rPr>
          <w:sz w:val="28"/>
          <w:szCs w:val="28"/>
        </w:rPr>
        <w:t>333</w:t>
      </w:r>
      <w:r w:rsidRPr="00385403">
        <w:rPr>
          <w:sz w:val="28"/>
          <w:szCs w:val="28"/>
        </w:rPr>
        <w:t xml:space="preserve"> заключенных брачных союзов, а число разводов </w:t>
      </w:r>
      <w:r w:rsidR="009572C7" w:rsidRPr="00385403">
        <w:rPr>
          <w:sz w:val="28"/>
          <w:szCs w:val="28"/>
        </w:rPr>
        <w:t xml:space="preserve">- </w:t>
      </w:r>
      <w:r w:rsidRPr="00385403">
        <w:rPr>
          <w:sz w:val="28"/>
          <w:szCs w:val="28"/>
        </w:rPr>
        <w:t xml:space="preserve"> </w:t>
      </w:r>
      <w:r w:rsidR="00F03D5D">
        <w:rPr>
          <w:sz w:val="28"/>
          <w:szCs w:val="28"/>
        </w:rPr>
        <w:t>1</w:t>
      </w:r>
      <w:r w:rsidR="00BE4F88">
        <w:rPr>
          <w:sz w:val="28"/>
          <w:szCs w:val="28"/>
        </w:rPr>
        <w:t>66</w:t>
      </w:r>
      <w:r w:rsidRPr="00385403">
        <w:rPr>
          <w:sz w:val="28"/>
          <w:szCs w:val="28"/>
        </w:rPr>
        <w:t xml:space="preserve"> (201</w:t>
      </w:r>
      <w:r w:rsidR="00784C23">
        <w:rPr>
          <w:sz w:val="28"/>
          <w:szCs w:val="28"/>
        </w:rPr>
        <w:t>9</w:t>
      </w:r>
      <w:r w:rsidRPr="00385403">
        <w:rPr>
          <w:sz w:val="28"/>
          <w:szCs w:val="28"/>
        </w:rPr>
        <w:t xml:space="preserve"> год </w:t>
      </w:r>
      <w:r w:rsidR="009572C7" w:rsidRPr="00385403">
        <w:rPr>
          <w:sz w:val="28"/>
          <w:szCs w:val="28"/>
        </w:rPr>
        <w:t xml:space="preserve">- </w:t>
      </w:r>
      <w:r w:rsidRPr="00385403">
        <w:rPr>
          <w:sz w:val="28"/>
          <w:szCs w:val="28"/>
        </w:rPr>
        <w:t xml:space="preserve"> </w:t>
      </w:r>
      <w:r w:rsidR="00E30BA3">
        <w:rPr>
          <w:sz w:val="28"/>
          <w:szCs w:val="28"/>
        </w:rPr>
        <w:t>25</w:t>
      </w:r>
      <w:r w:rsidR="00BE4F88">
        <w:rPr>
          <w:sz w:val="28"/>
          <w:szCs w:val="28"/>
        </w:rPr>
        <w:t>2</w:t>
      </w:r>
      <w:r w:rsidRPr="00385403">
        <w:rPr>
          <w:sz w:val="28"/>
          <w:szCs w:val="28"/>
        </w:rPr>
        <w:t xml:space="preserve"> и </w:t>
      </w:r>
      <w:r w:rsidR="0000628F">
        <w:rPr>
          <w:sz w:val="28"/>
          <w:szCs w:val="28"/>
        </w:rPr>
        <w:t>1</w:t>
      </w:r>
      <w:r w:rsidR="00BE4F88">
        <w:rPr>
          <w:sz w:val="28"/>
          <w:szCs w:val="28"/>
        </w:rPr>
        <w:t>54</w:t>
      </w:r>
      <w:r w:rsidRPr="00385403">
        <w:rPr>
          <w:sz w:val="28"/>
          <w:szCs w:val="28"/>
        </w:rPr>
        <w:t xml:space="preserve"> соответственно)</w:t>
      </w:r>
      <w:r w:rsidR="00B6295E" w:rsidRPr="00385403">
        <w:rPr>
          <w:sz w:val="28"/>
          <w:szCs w:val="28"/>
        </w:rPr>
        <w:t>.</w:t>
      </w:r>
    </w:p>
    <w:p w:rsidR="003333CB" w:rsidRPr="001D55CD" w:rsidRDefault="003333CB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>Стратегической целью повышения уровня жизни населения в Исилькульском муниципальном районе является устойчивое улучшение благосостояния, повышение уровня доходов и качества жизни населения.</w:t>
      </w:r>
    </w:p>
    <w:p w:rsidR="005911EE" w:rsidRPr="001D55CD" w:rsidRDefault="007B2C46" w:rsidP="00E23C79">
      <w:pPr>
        <w:ind w:left="14" w:right="28" w:firstLine="709"/>
        <w:jc w:val="both"/>
        <w:rPr>
          <w:sz w:val="28"/>
          <w:szCs w:val="28"/>
        </w:rPr>
      </w:pPr>
      <w:r w:rsidRPr="00784C23">
        <w:rPr>
          <w:sz w:val="28"/>
          <w:szCs w:val="28"/>
        </w:rPr>
        <w:t>За прошедший 20</w:t>
      </w:r>
      <w:r w:rsidR="00784C23">
        <w:rPr>
          <w:sz w:val="28"/>
          <w:szCs w:val="28"/>
        </w:rPr>
        <w:t>2</w:t>
      </w:r>
      <w:r w:rsidR="00BE4F88">
        <w:rPr>
          <w:sz w:val="28"/>
          <w:szCs w:val="28"/>
        </w:rPr>
        <w:t>2</w:t>
      </w:r>
      <w:r w:rsidRPr="00784C23">
        <w:rPr>
          <w:sz w:val="28"/>
          <w:szCs w:val="28"/>
        </w:rPr>
        <w:t xml:space="preserve"> год среднемесячная номинальная заработная плата составляла </w:t>
      </w:r>
      <w:r w:rsidR="00BE4F88">
        <w:rPr>
          <w:sz w:val="28"/>
          <w:szCs w:val="28"/>
        </w:rPr>
        <w:t>34516</w:t>
      </w:r>
      <w:r w:rsidR="00E30BA3">
        <w:rPr>
          <w:sz w:val="28"/>
          <w:szCs w:val="28"/>
        </w:rPr>
        <w:t>,20</w:t>
      </w:r>
      <w:r w:rsidRPr="00784C23">
        <w:rPr>
          <w:sz w:val="28"/>
          <w:szCs w:val="28"/>
        </w:rPr>
        <w:t xml:space="preserve"> рублей, </w:t>
      </w:r>
      <w:r w:rsidR="005911EE" w:rsidRPr="00784C23">
        <w:rPr>
          <w:sz w:val="28"/>
          <w:szCs w:val="28"/>
        </w:rPr>
        <w:t xml:space="preserve">в среднесрочной перспективе прогнозируется </w:t>
      </w:r>
      <w:r w:rsidR="005911EE" w:rsidRPr="00784C23">
        <w:rPr>
          <w:sz w:val="28"/>
          <w:szCs w:val="28"/>
        </w:rPr>
        <w:lastRenderedPageBreak/>
        <w:t>улучшение показателей</w:t>
      </w:r>
      <w:r w:rsidR="005911EE" w:rsidRPr="001D55CD">
        <w:rPr>
          <w:sz w:val="28"/>
          <w:szCs w:val="28"/>
        </w:rPr>
        <w:t xml:space="preserve"> уровня жизни населения Исилькульского муниципального района (реальной заработной платы и реальных располагаемых доходов населения).</w:t>
      </w:r>
    </w:p>
    <w:p w:rsidR="000C5B13" w:rsidRPr="001D55CD" w:rsidRDefault="000C5B13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>В 20</w:t>
      </w:r>
      <w:r w:rsidR="00750122">
        <w:rPr>
          <w:sz w:val="28"/>
          <w:szCs w:val="28"/>
        </w:rPr>
        <w:t>2</w:t>
      </w:r>
      <w:r w:rsidR="004D20DC">
        <w:rPr>
          <w:sz w:val="28"/>
          <w:szCs w:val="28"/>
        </w:rPr>
        <w:t>3</w:t>
      </w:r>
      <w:r w:rsidRPr="001D55CD">
        <w:rPr>
          <w:sz w:val="28"/>
          <w:szCs w:val="28"/>
        </w:rPr>
        <w:t xml:space="preserve"> году </w:t>
      </w:r>
      <w:r w:rsidR="009B6F90" w:rsidRPr="001D55CD">
        <w:rPr>
          <w:sz w:val="28"/>
          <w:szCs w:val="28"/>
        </w:rPr>
        <w:t xml:space="preserve">прогнозируемый </w:t>
      </w:r>
      <w:r w:rsidRPr="001D55CD">
        <w:rPr>
          <w:sz w:val="28"/>
          <w:szCs w:val="28"/>
        </w:rPr>
        <w:t>уровень среднемесячной заработной платы работников крупных и средних организаций вырастет к уровню 20</w:t>
      </w:r>
      <w:r w:rsidR="00784C23">
        <w:rPr>
          <w:sz w:val="28"/>
          <w:szCs w:val="28"/>
        </w:rPr>
        <w:t>2</w:t>
      </w:r>
      <w:r w:rsidR="004D20DC">
        <w:rPr>
          <w:sz w:val="28"/>
          <w:szCs w:val="28"/>
        </w:rPr>
        <w:t xml:space="preserve">2 </w:t>
      </w:r>
      <w:r w:rsidRPr="001D55CD">
        <w:rPr>
          <w:sz w:val="28"/>
          <w:szCs w:val="28"/>
        </w:rPr>
        <w:t xml:space="preserve">года на </w:t>
      </w:r>
      <w:r w:rsidR="00E30BA3">
        <w:rPr>
          <w:sz w:val="28"/>
          <w:szCs w:val="28"/>
        </w:rPr>
        <w:t>6,</w:t>
      </w:r>
      <w:r w:rsidR="004D20DC">
        <w:rPr>
          <w:sz w:val="28"/>
          <w:szCs w:val="28"/>
        </w:rPr>
        <w:t>6</w:t>
      </w:r>
      <w:r w:rsidRPr="001D55CD">
        <w:rPr>
          <w:sz w:val="28"/>
          <w:szCs w:val="28"/>
        </w:rPr>
        <w:t xml:space="preserve"> процент</w:t>
      </w:r>
      <w:r w:rsidR="0074527C">
        <w:rPr>
          <w:sz w:val="28"/>
          <w:szCs w:val="28"/>
        </w:rPr>
        <w:t>а</w:t>
      </w:r>
      <w:r w:rsidRPr="001D55CD">
        <w:rPr>
          <w:sz w:val="28"/>
          <w:szCs w:val="28"/>
        </w:rPr>
        <w:t>. В целом за 20</w:t>
      </w:r>
      <w:r w:rsidR="00765027">
        <w:rPr>
          <w:sz w:val="28"/>
          <w:szCs w:val="28"/>
        </w:rPr>
        <w:t>2</w:t>
      </w:r>
      <w:r w:rsidR="004D20DC">
        <w:rPr>
          <w:sz w:val="28"/>
          <w:szCs w:val="28"/>
        </w:rPr>
        <w:t>4</w:t>
      </w:r>
      <w:r w:rsidRPr="001D55CD">
        <w:rPr>
          <w:sz w:val="28"/>
          <w:szCs w:val="28"/>
        </w:rPr>
        <w:t xml:space="preserve"> </w:t>
      </w:r>
      <w:r w:rsidR="009572C7" w:rsidRPr="001D55CD">
        <w:rPr>
          <w:sz w:val="28"/>
          <w:szCs w:val="28"/>
        </w:rPr>
        <w:t>-</w:t>
      </w:r>
      <w:r w:rsidRPr="001D55CD">
        <w:rPr>
          <w:sz w:val="28"/>
          <w:szCs w:val="28"/>
        </w:rPr>
        <w:t xml:space="preserve"> 20</w:t>
      </w:r>
      <w:r w:rsidR="00ED77C5" w:rsidRPr="001D55CD">
        <w:rPr>
          <w:sz w:val="28"/>
          <w:szCs w:val="28"/>
        </w:rPr>
        <w:t>2</w:t>
      </w:r>
      <w:r w:rsidR="004D20DC">
        <w:rPr>
          <w:sz w:val="28"/>
          <w:szCs w:val="28"/>
        </w:rPr>
        <w:t>6</w:t>
      </w:r>
      <w:r w:rsidR="00291D68" w:rsidRPr="001D55CD">
        <w:rPr>
          <w:sz w:val="28"/>
          <w:szCs w:val="28"/>
        </w:rPr>
        <w:t xml:space="preserve"> годы</w:t>
      </w:r>
      <w:r w:rsidRPr="001D55CD">
        <w:rPr>
          <w:sz w:val="28"/>
          <w:szCs w:val="28"/>
        </w:rPr>
        <w:t xml:space="preserve"> </w:t>
      </w:r>
      <w:r w:rsidR="00ED77C5" w:rsidRPr="001D55CD">
        <w:rPr>
          <w:sz w:val="28"/>
          <w:szCs w:val="28"/>
        </w:rPr>
        <w:t xml:space="preserve">среднемесячная номинальная начисленная заработная плата по Исилькульскому району вырастет </w:t>
      </w:r>
      <w:r w:rsidR="00ED77C5" w:rsidRPr="00784C23">
        <w:rPr>
          <w:sz w:val="28"/>
          <w:szCs w:val="28"/>
        </w:rPr>
        <w:t xml:space="preserve">на </w:t>
      </w:r>
      <w:r w:rsidR="00E30BA3">
        <w:rPr>
          <w:sz w:val="28"/>
          <w:szCs w:val="28"/>
        </w:rPr>
        <w:t>11,</w:t>
      </w:r>
      <w:r w:rsidR="004D20DC">
        <w:rPr>
          <w:sz w:val="28"/>
          <w:szCs w:val="28"/>
        </w:rPr>
        <w:t>5</w:t>
      </w:r>
      <w:r w:rsidR="00ED77C5" w:rsidRPr="00784C23">
        <w:rPr>
          <w:sz w:val="28"/>
          <w:szCs w:val="28"/>
        </w:rPr>
        <w:t xml:space="preserve"> </w:t>
      </w:r>
      <w:r w:rsidR="00765027" w:rsidRPr="00784C23">
        <w:rPr>
          <w:sz w:val="28"/>
          <w:szCs w:val="28"/>
        </w:rPr>
        <w:t>–</w:t>
      </w:r>
      <w:r w:rsidR="00ED77C5" w:rsidRPr="00784C23">
        <w:rPr>
          <w:sz w:val="28"/>
          <w:szCs w:val="28"/>
        </w:rPr>
        <w:t xml:space="preserve"> </w:t>
      </w:r>
      <w:r w:rsidR="00E30BA3">
        <w:rPr>
          <w:sz w:val="28"/>
          <w:szCs w:val="28"/>
        </w:rPr>
        <w:t>2</w:t>
      </w:r>
      <w:r w:rsidR="004D20DC">
        <w:rPr>
          <w:sz w:val="28"/>
          <w:szCs w:val="28"/>
        </w:rPr>
        <w:t>1</w:t>
      </w:r>
      <w:r w:rsidR="00E30BA3">
        <w:rPr>
          <w:sz w:val="28"/>
          <w:szCs w:val="28"/>
        </w:rPr>
        <w:t>,</w:t>
      </w:r>
      <w:r w:rsidR="004D20DC">
        <w:rPr>
          <w:sz w:val="28"/>
          <w:szCs w:val="28"/>
        </w:rPr>
        <w:t>4</w:t>
      </w:r>
      <w:r w:rsidR="00ED77C5" w:rsidRPr="00784C23">
        <w:rPr>
          <w:sz w:val="28"/>
          <w:szCs w:val="28"/>
        </w:rPr>
        <w:t xml:space="preserve"> </w:t>
      </w:r>
      <w:r w:rsidR="00750122" w:rsidRPr="00784C23">
        <w:rPr>
          <w:sz w:val="28"/>
          <w:szCs w:val="28"/>
        </w:rPr>
        <w:t>процента и</w:t>
      </w:r>
      <w:r w:rsidR="00ED77C5" w:rsidRPr="00784C23">
        <w:rPr>
          <w:sz w:val="28"/>
          <w:szCs w:val="28"/>
        </w:rPr>
        <w:t xml:space="preserve"> достигнет в 202</w:t>
      </w:r>
      <w:r w:rsidR="004D20DC">
        <w:rPr>
          <w:sz w:val="28"/>
          <w:szCs w:val="28"/>
        </w:rPr>
        <w:t>6</w:t>
      </w:r>
      <w:r w:rsidR="00ED77C5" w:rsidRPr="00784C23">
        <w:rPr>
          <w:sz w:val="28"/>
          <w:szCs w:val="28"/>
        </w:rPr>
        <w:t xml:space="preserve"> году по первому варианту </w:t>
      </w:r>
      <w:r w:rsidR="004D20DC">
        <w:rPr>
          <w:sz w:val="28"/>
          <w:szCs w:val="28"/>
        </w:rPr>
        <w:t>42461,70</w:t>
      </w:r>
      <w:r w:rsidR="00ED77C5" w:rsidRPr="00784C23">
        <w:rPr>
          <w:sz w:val="28"/>
          <w:szCs w:val="28"/>
        </w:rPr>
        <w:t xml:space="preserve"> руб., по второму варианту </w:t>
      </w:r>
      <w:r w:rsidR="00765027" w:rsidRPr="00784C23">
        <w:rPr>
          <w:sz w:val="28"/>
          <w:szCs w:val="28"/>
        </w:rPr>
        <w:t>–</w:t>
      </w:r>
      <w:r w:rsidR="00ED77C5" w:rsidRPr="00784C23">
        <w:rPr>
          <w:sz w:val="28"/>
          <w:szCs w:val="28"/>
        </w:rPr>
        <w:t xml:space="preserve"> </w:t>
      </w:r>
      <w:r w:rsidR="004D20DC">
        <w:rPr>
          <w:sz w:val="28"/>
          <w:szCs w:val="28"/>
        </w:rPr>
        <w:t>44696,50</w:t>
      </w:r>
      <w:r w:rsidR="00ED77C5" w:rsidRPr="00784C23">
        <w:rPr>
          <w:sz w:val="28"/>
          <w:szCs w:val="28"/>
        </w:rPr>
        <w:t xml:space="preserve"> руб</w:t>
      </w:r>
      <w:r w:rsidRPr="00784C23">
        <w:rPr>
          <w:sz w:val="28"/>
          <w:szCs w:val="28"/>
        </w:rPr>
        <w:t>.</w:t>
      </w:r>
    </w:p>
    <w:p w:rsidR="00291D68" w:rsidRPr="001D55CD" w:rsidRDefault="0073700E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1AB">
        <w:rPr>
          <w:sz w:val="28"/>
          <w:szCs w:val="28"/>
        </w:rPr>
        <w:t>В 202</w:t>
      </w:r>
      <w:r w:rsidR="003227E2">
        <w:rPr>
          <w:sz w:val="28"/>
          <w:szCs w:val="28"/>
        </w:rPr>
        <w:t>4</w:t>
      </w:r>
      <w:r w:rsidRPr="00F931AB">
        <w:rPr>
          <w:sz w:val="28"/>
          <w:szCs w:val="28"/>
        </w:rPr>
        <w:t xml:space="preserve"> - 202</w:t>
      </w:r>
      <w:r w:rsidR="003227E2">
        <w:rPr>
          <w:sz w:val="28"/>
          <w:szCs w:val="28"/>
        </w:rPr>
        <w:t>6</w:t>
      </w:r>
      <w:r w:rsidRPr="00F931AB">
        <w:rPr>
          <w:sz w:val="28"/>
          <w:szCs w:val="28"/>
        </w:rPr>
        <w:t xml:space="preserve"> годах в экономике Исилькульского муниципального района Омской области прогнозируется незначительное увеличение инвестиционной активности </w:t>
      </w:r>
      <w:r w:rsidRPr="007A354A">
        <w:rPr>
          <w:sz w:val="28"/>
          <w:szCs w:val="28"/>
        </w:rPr>
        <w:t xml:space="preserve">предприятий на </w:t>
      </w:r>
      <w:r w:rsidR="00EF7C8D">
        <w:rPr>
          <w:sz w:val="28"/>
          <w:szCs w:val="28"/>
        </w:rPr>
        <w:t>3</w:t>
      </w:r>
      <w:r w:rsidR="00F931AB" w:rsidRPr="007A354A">
        <w:rPr>
          <w:sz w:val="28"/>
          <w:szCs w:val="28"/>
        </w:rPr>
        <w:t>,</w:t>
      </w:r>
      <w:r w:rsidR="00EF7C8D">
        <w:rPr>
          <w:sz w:val="28"/>
          <w:szCs w:val="28"/>
        </w:rPr>
        <w:t>1</w:t>
      </w:r>
      <w:r w:rsidR="00F931AB" w:rsidRPr="007A354A">
        <w:rPr>
          <w:sz w:val="28"/>
          <w:szCs w:val="28"/>
        </w:rPr>
        <w:t xml:space="preserve"> </w:t>
      </w:r>
      <w:r w:rsidR="003227E2">
        <w:rPr>
          <w:sz w:val="28"/>
          <w:szCs w:val="28"/>
        </w:rPr>
        <w:t>–</w:t>
      </w:r>
      <w:r w:rsidR="001B67DE">
        <w:rPr>
          <w:sz w:val="28"/>
          <w:szCs w:val="28"/>
        </w:rPr>
        <w:t xml:space="preserve"> </w:t>
      </w:r>
      <w:r w:rsidR="00EF7C8D">
        <w:rPr>
          <w:sz w:val="28"/>
          <w:szCs w:val="28"/>
        </w:rPr>
        <w:t>5</w:t>
      </w:r>
      <w:r w:rsidR="003227E2">
        <w:rPr>
          <w:sz w:val="28"/>
          <w:szCs w:val="28"/>
        </w:rPr>
        <w:t>,</w:t>
      </w:r>
      <w:r w:rsidR="00EF7C8D">
        <w:rPr>
          <w:sz w:val="28"/>
          <w:szCs w:val="28"/>
        </w:rPr>
        <w:t>6</w:t>
      </w:r>
      <w:r w:rsidRPr="007A354A">
        <w:rPr>
          <w:sz w:val="28"/>
          <w:szCs w:val="28"/>
        </w:rPr>
        <w:t xml:space="preserve"> процента и достигнет суммы </w:t>
      </w:r>
      <w:r w:rsidR="003227E2">
        <w:rPr>
          <w:sz w:val="28"/>
          <w:szCs w:val="28"/>
        </w:rPr>
        <w:t>1</w:t>
      </w:r>
      <w:r w:rsidR="00EF7C8D">
        <w:rPr>
          <w:sz w:val="28"/>
          <w:szCs w:val="28"/>
        </w:rPr>
        <w:t>2</w:t>
      </w:r>
      <w:r w:rsidR="003227E2">
        <w:rPr>
          <w:sz w:val="28"/>
          <w:szCs w:val="28"/>
        </w:rPr>
        <w:t>0</w:t>
      </w:r>
      <w:r w:rsidR="00EF7C8D">
        <w:rPr>
          <w:sz w:val="28"/>
          <w:szCs w:val="28"/>
        </w:rPr>
        <w:t>0304</w:t>
      </w:r>
      <w:r w:rsidR="003227E2">
        <w:rPr>
          <w:sz w:val="28"/>
          <w:szCs w:val="28"/>
        </w:rPr>
        <w:t>,0</w:t>
      </w:r>
      <w:r w:rsidR="00F931AB" w:rsidRPr="007A354A">
        <w:rPr>
          <w:sz w:val="28"/>
          <w:szCs w:val="28"/>
        </w:rPr>
        <w:t xml:space="preserve"> </w:t>
      </w:r>
      <w:r w:rsidRPr="007A354A">
        <w:rPr>
          <w:sz w:val="28"/>
          <w:szCs w:val="28"/>
        </w:rPr>
        <w:t xml:space="preserve">тыс. руб. и </w:t>
      </w:r>
      <w:r w:rsidR="003227E2">
        <w:rPr>
          <w:sz w:val="28"/>
          <w:szCs w:val="28"/>
        </w:rPr>
        <w:t>1</w:t>
      </w:r>
      <w:r w:rsidR="00EF7C8D">
        <w:rPr>
          <w:sz w:val="28"/>
          <w:szCs w:val="28"/>
        </w:rPr>
        <w:t>3</w:t>
      </w:r>
      <w:r w:rsidR="003227E2">
        <w:rPr>
          <w:sz w:val="28"/>
          <w:szCs w:val="28"/>
        </w:rPr>
        <w:t>21562</w:t>
      </w:r>
      <w:r w:rsidR="00AB5332" w:rsidRPr="007A354A">
        <w:rPr>
          <w:sz w:val="28"/>
          <w:szCs w:val="28"/>
        </w:rPr>
        <w:t>,0</w:t>
      </w:r>
      <w:r w:rsidR="00F931AB" w:rsidRPr="007A354A">
        <w:rPr>
          <w:sz w:val="28"/>
          <w:szCs w:val="28"/>
        </w:rPr>
        <w:t xml:space="preserve"> </w:t>
      </w:r>
      <w:r w:rsidRPr="007A354A">
        <w:rPr>
          <w:sz w:val="28"/>
          <w:szCs w:val="28"/>
        </w:rPr>
        <w:t>тыс. руб. по первому и второму варианту соответственно</w:t>
      </w:r>
      <w:r w:rsidR="00D9205B" w:rsidRPr="007A354A">
        <w:rPr>
          <w:sz w:val="28"/>
          <w:szCs w:val="28"/>
        </w:rPr>
        <w:t>.</w:t>
      </w:r>
    </w:p>
    <w:p w:rsidR="00FD7FA6" w:rsidRPr="001D55CD" w:rsidRDefault="00FD7FA6" w:rsidP="00E23C79">
      <w:pPr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 xml:space="preserve">С целью стимулирования инвестиционной активности на территории </w:t>
      </w:r>
      <w:r w:rsidR="00831670" w:rsidRPr="001D55CD">
        <w:rPr>
          <w:sz w:val="28"/>
          <w:szCs w:val="28"/>
        </w:rPr>
        <w:t>Исилькульского муниципального</w:t>
      </w:r>
      <w:r w:rsidRPr="001D55CD">
        <w:rPr>
          <w:sz w:val="28"/>
          <w:szCs w:val="28"/>
        </w:rPr>
        <w:t xml:space="preserve"> района, и поддержки перспективных инвестиционных проектов, реализация которых будет в полной мере отвечать приоритетам и целям, определенным в Стратегии социально-экономического развития </w:t>
      </w:r>
      <w:r w:rsidR="00831670" w:rsidRPr="001D55CD">
        <w:rPr>
          <w:sz w:val="28"/>
          <w:szCs w:val="28"/>
        </w:rPr>
        <w:t xml:space="preserve">Исилькульского муниципального района </w:t>
      </w:r>
      <w:r w:rsidRPr="001D55CD">
        <w:rPr>
          <w:sz w:val="28"/>
          <w:szCs w:val="28"/>
        </w:rPr>
        <w:t xml:space="preserve">на среднесрочный и долгосрочный период, разработана нормативно-правовая база, на официальном сайте </w:t>
      </w:r>
      <w:r w:rsidR="00831670" w:rsidRPr="001D55CD">
        <w:rPr>
          <w:sz w:val="28"/>
          <w:szCs w:val="28"/>
        </w:rPr>
        <w:t>Исилькульского муниципального района</w:t>
      </w:r>
      <w:r w:rsidRPr="001D55CD">
        <w:rPr>
          <w:sz w:val="28"/>
          <w:szCs w:val="28"/>
        </w:rPr>
        <w:t xml:space="preserve"> </w:t>
      </w:r>
      <w:hyperlink r:id="rId8" w:history="1">
        <w:r w:rsidR="002E4A40" w:rsidRPr="001D55CD">
          <w:rPr>
            <w:rStyle w:val="ac"/>
            <w:sz w:val="28"/>
            <w:szCs w:val="28"/>
          </w:rPr>
          <w:t>http://isilk.omskportal.ru/ru/municipal/localAuthLis</w:t>
        </w:r>
      </w:hyperlink>
      <w:r w:rsidR="00B275FF" w:rsidRPr="001D55CD">
        <w:rPr>
          <w:color w:val="0000FF"/>
          <w:sz w:val="28"/>
          <w:szCs w:val="28"/>
          <w:u w:val="single"/>
        </w:rPr>
        <w:t xml:space="preserve"> </w:t>
      </w:r>
      <w:r w:rsidR="00831670" w:rsidRPr="001D55CD">
        <w:rPr>
          <w:sz w:val="28"/>
          <w:szCs w:val="28"/>
        </w:rPr>
        <w:t>действует раздел "Инвестиционная деятельность"</w:t>
      </w:r>
      <w:r w:rsidR="00B357CB">
        <w:rPr>
          <w:sz w:val="28"/>
          <w:szCs w:val="28"/>
        </w:rPr>
        <w:t>,</w:t>
      </w:r>
      <w:r w:rsidR="00831670" w:rsidRPr="001D55CD">
        <w:rPr>
          <w:sz w:val="28"/>
          <w:szCs w:val="28"/>
        </w:rPr>
        <w:t xml:space="preserve"> </w:t>
      </w:r>
      <w:r w:rsidRPr="001D55CD">
        <w:rPr>
          <w:sz w:val="28"/>
          <w:szCs w:val="28"/>
        </w:rPr>
        <w:t>где размещена информация об инвестиционных предложениях, проектах, инвестиционных площадках, об институтах развития поддержки предпринимательства и другая необходимая информация.</w:t>
      </w:r>
    </w:p>
    <w:p w:rsidR="00FD7FA6" w:rsidRPr="001D55CD" w:rsidRDefault="00382BD2" w:rsidP="00E23C79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D7FA6" w:rsidRPr="00385403">
        <w:rPr>
          <w:color w:val="000000"/>
          <w:sz w:val="28"/>
          <w:szCs w:val="28"/>
        </w:rPr>
        <w:t xml:space="preserve"> </w:t>
      </w:r>
      <w:r w:rsidR="00750122" w:rsidRPr="00385403">
        <w:rPr>
          <w:color w:val="000000"/>
          <w:sz w:val="28"/>
          <w:szCs w:val="28"/>
        </w:rPr>
        <w:t>20</w:t>
      </w:r>
      <w:r w:rsidR="00750122">
        <w:rPr>
          <w:color w:val="000000"/>
          <w:sz w:val="28"/>
          <w:szCs w:val="28"/>
        </w:rPr>
        <w:t>2</w:t>
      </w:r>
      <w:r w:rsidR="00220516">
        <w:rPr>
          <w:color w:val="000000"/>
          <w:sz w:val="28"/>
          <w:szCs w:val="28"/>
        </w:rPr>
        <w:t>4</w:t>
      </w:r>
      <w:r w:rsidR="00750122" w:rsidRPr="00385403">
        <w:rPr>
          <w:color w:val="000000"/>
          <w:sz w:val="28"/>
          <w:szCs w:val="28"/>
        </w:rPr>
        <w:t xml:space="preserve"> -</w:t>
      </w:r>
      <w:r w:rsidR="00385403">
        <w:rPr>
          <w:color w:val="000000"/>
          <w:sz w:val="28"/>
          <w:szCs w:val="28"/>
        </w:rPr>
        <w:t xml:space="preserve"> </w:t>
      </w:r>
      <w:r w:rsidR="00385403" w:rsidRPr="00385403">
        <w:rPr>
          <w:color w:val="000000"/>
          <w:sz w:val="28"/>
          <w:szCs w:val="28"/>
        </w:rPr>
        <w:t>202</w:t>
      </w:r>
      <w:r w:rsidR="00220516">
        <w:rPr>
          <w:color w:val="000000"/>
          <w:sz w:val="28"/>
          <w:szCs w:val="28"/>
        </w:rPr>
        <w:t>6</w:t>
      </w:r>
      <w:r w:rsidR="00385403" w:rsidRPr="00385403">
        <w:rPr>
          <w:color w:val="000000"/>
          <w:sz w:val="28"/>
          <w:szCs w:val="28"/>
        </w:rPr>
        <w:t xml:space="preserve"> </w:t>
      </w:r>
      <w:r w:rsidR="00FD7FA6" w:rsidRPr="00385403">
        <w:rPr>
          <w:color w:val="000000"/>
          <w:sz w:val="28"/>
          <w:szCs w:val="28"/>
        </w:rPr>
        <w:t>год</w:t>
      </w:r>
      <w:r w:rsidR="00385403" w:rsidRPr="00385403">
        <w:rPr>
          <w:color w:val="000000"/>
          <w:sz w:val="28"/>
          <w:szCs w:val="28"/>
        </w:rPr>
        <w:t>ах</w:t>
      </w:r>
      <w:r w:rsidR="00FD7FA6" w:rsidRPr="00385403">
        <w:rPr>
          <w:color w:val="000000"/>
          <w:sz w:val="28"/>
          <w:szCs w:val="28"/>
        </w:rPr>
        <w:t xml:space="preserve"> продолжится активная работа по повышению инвестиционной привлекательности</w:t>
      </w:r>
      <w:r w:rsidR="00FD7FA6" w:rsidRPr="001D55CD">
        <w:rPr>
          <w:color w:val="000000"/>
          <w:sz w:val="28"/>
          <w:szCs w:val="28"/>
        </w:rPr>
        <w:t xml:space="preserve">, способствующей развитию существующих производств и привлечению новых инвесторов на территорию </w:t>
      </w:r>
      <w:r w:rsidR="00831670" w:rsidRPr="001D55CD">
        <w:rPr>
          <w:sz w:val="28"/>
          <w:szCs w:val="28"/>
        </w:rPr>
        <w:t>Исилькульского муниципального</w:t>
      </w:r>
      <w:r w:rsidR="00FD7FA6" w:rsidRPr="001D55CD">
        <w:rPr>
          <w:color w:val="000000"/>
          <w:sz w:val="28"/>
          <w:szCs w:val="28"/>
        </w:rPr>
        <w:t xml:space="preserve"> района.</w:t>
      </w:r>
    </w:p>
    <w:p w:rsidR="00B47FB3" w:rsidRPr="001D55CD" w:rsidRDefault="00FD7FA6" w:rsidP="00E23C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>На фоне оптимизации бюджетных инвестиционных расходов, в прогнозный период 20</w:t>
      </w:r>
      <w:r w:rsidR="00D4356B">
        <w:rPr>
          <w:sz w:val="28"/>
          <w:szCs w:val="28"/>
        </w:rPr>
        <w:t>2</w:t>
      </w:r>
      <w:r w:rsidR="00220516">
        <w:rPr>
          <w:sz w:val="28"/>
          <w:szCs w:val="28"/>
        </w:rPr>
        <w:t>4</w:t>
      </w:r>
      <w:r w:rsidRPr="001D55CD">
        <w:rPr>
          <w:sz w:val="28"/>
          <w:szCs w:val="28"/>
        </w:rPr>
        <w:t xml:space="preserve"> </w:t>
      </w:r>
      <w:r w:rsidR="009572C7" w:rsidRPr="001D55CD">
        <w:rPr>
          <w:sz w:val="28"/>
          <w:szCs w:val="28"/>
        </w:rPr>
        <w:t>-</w:t>
      </w:r>
      <w:r w:rsidRPr="001D55CD">
        <w:rPr>
          <w:sz w:val="28"/>
          <w:szCs w:val="28"/>
        </w:rPr>
        <w:t xml:space="preserve"> 202</w:t>
      </w:r>
      <w:r w:rsidR="00220516">
        <w:rPr>
          <w:sz w:val="28"/>
          <w:szCs w:val="28"/>
        </w:rPr>
        <w:t>6</w:t>
      </w:r>
      <w:r w:rsidRPr="001D55CD">
        <w:rPr>
          <w:sz w:val="28"/>
          <w:szCs w:val="28"/>
        </w:rPr>
        <w:t xml:space="preserve"> годов, необходимо направить усилия на наращивание частных инвестиций в основной капитал.</w:t>
      </w:r>
    </w:p>
    <w:p w:rsidR="00EA6CF3" w:rsidRPr="001D55CD" w:rsidRDefault="00EA6CF3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>Развитию инвестиционной деятельности будут способствовать также меры по содействию развитию малого и среднего предпринимательства в Иси</w:t>
      </w:r>
      <w:r w:rsidR="002E4A40" w:rsidRPr="001D55CD">
        <w:rPr>
          <w:sz w:val="28"/>
          <w:szCs w:val="28"/>
        </w:rPr>
        <w:t>лькульском муниципальном районе</w:t>
      </w:r>
      <w:r w:rsidRPr="001D55CD">
        <w:rPr>
          <w:sz w:val="28"/>
          <w:szCs w:val="28"/>
        </w:rPr>
        <w:t>, в том числе: финансовая поддержка субъектов малого и среднего предпринимательства (организация и проведение конкурса на предоставление субсидий для возмещения затрат); информационно-методическая поддержка субъектов малого и среднего предпринимательства (оказание консультативной и информаци</w:t>
      </w:r>
      <w:r w:rsidR="002E4A40" w:rsidRPr="001D55CD">
        <w:rPr>
          <w:sz w:val="28"/>
          <w:szCs w:val="28"/>
        </w:rPr>
        <w:t>онной поддержки).</w:t>
      </w:r>
    </w:p>
    <w:p w:rsidR="00783E62" w:rsidRDefault="00BE35DB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54A">
        <w:rPr>
          <w:sz w:val="28"/>
          <w:szCs w:val="28"/>
        </w:rPr>
        <w:t xml:space="preserve">Объем производства продукции сельского хозяйства в хозяйствах всех </w:t>
      </w:r>
      <w:r w:rsidR="00750122" w:rsidRPr="007A354A">
        <w:rPr>
          <w:sz w:val="28"/>
          <w:szCs w:val="28"/>
        </w:rPr>
        <w:t>категорий в</w:t>
      </w:r>
      <w:r w:rsidRPr="007A354A">
        <w:rPr>
          <w:sz w:val="28"/>
          <w:szCs w:val="28"/>
        </w:rPr>
        <w:t xml:space="preserve"> 202</w:t>
      </w:r>
      <w:r w:rsidR="00220516">
        <w:rPr>
          <w:sz w:val="28"/>
          <w:szCs w:val="28"/>
        </w:rPr>
        <w:t>6</w:t>
      </w:r>
      <w:r w:rsidRPr="007A354A">
        <w:rPr>
          <w:sz w:val="28"/>
          <w:szCs w:val="28"/>
        </w:rPr>
        <w:t xml:space="preserve"> году составит </w:t>
      </w:r>
      <w:r w:rsidR="003227E2">
        <w:rPr>
          <w:sz w:val="28"/>
          <w:szCs w:val="28"/>
        </w:rPr>
        <w:t>102,7</w:t>
      </w:r>
      <w:r w:rsidRPr="007A354A">
        <w:rPr>
          <w:sz w:val="28"/>
          <w:szCs w:val="28"/>
        </w:rPr>
        <w:t xml:space="preserve"> </w:t>
      </w:r>
      <w:r w:rsidR="00431455" w:rsidRPr="007A354A">
        <w:rPr>
          <w:sz w:val="28"/>
          <w:szCs w:val="28"/>
        </w:rPr>
        <w:t>–</w:t>
      </w:r>
      <w:r w:rsidRPr="007A354A">
        <w:rPr>
          <w:sz w:val="28"/>
          <w:szCs w:val="28"/>
        </w:rPr>
        <w:t xml:space="preserve"> 10</w:t>
      </w:r>
      <w:r w:rsidR="003227E2">
        <w:rPr>
          <w:sz w:val="28"/>
          <w:szCs w:val="28"/>
        </w:rPr>
        <w:t>4</w:t>
      </w:r>
      <w:r w:rsidR="00431455" w:rsidRPr="007A354A">
        <w:rPr>
          <w:sz w:val="28"/>
          <w:szCs w:val="28"/>
        </w:rPr>
        <w:t>,</w:t>
      </w:r>
      <w:r w:rsidR="00247F53">
        <w:rPr>
          <w:sz w:val="28"/>
          <w:szCs w:val="28"/>
        </w:rPr>
        <w:t xml:space="preserve">0 </w:t>
      </w:r>
      <w:r w:rsidR="00247F53" w:rsidRPr="007A354A">
        <w:rPr>
          <w:sz w:val="28"/>
          <w:szCs w:val="28"/>
        </w:rPr>
        <w:t>процента</w:t>
      </w:r>
      <w:r w:rsidRPr="007A354A">
        <w:rPr>
          <w:sz w:val="28"/>
          <w:szCs w:val="28"/>
        </w:rPr>
        <w:t xml:space="preserve"> к уровню 20</w:t>
      </w:r>
      <w:r w:rsidR="00750122" w:rsidRPr="007A354A">
        <w:rPr>
          <w:sz w:val="28"/>
          <w:szCs w:val="28"/>
        </w:rPr>
        <w:t>2</w:t>
      </w:r>
      <w:r w:rsidR="00220516">
        <w:rPr>
          <w:sz w:val="28"/>
          <w:szCs w:val="28"/>
        </w:rPr>
        <w:t>3</w:t>
      </w:r>
      <w:r w:rsidRPr="007A354A">
        <w:rPr>
          <w:sz w:val="28"/>
          <w:szCs w:val="28"/>
        </w:rPr>
        <w:t xml:space="preserve"> года по первому и второму вариантам прогноза соответственно</w:t>
      </w:r>
      <w:r w:rsidRPr="00783E62">
        <w:rPr>
          <w:sz w:val="28"/>
          <w:szCs w:val="28"/>
        </w:rPr>
        <w:t xml:space="preserve">. Положительная динамика показателя обусловлена увеличением объемов производства продукции в отрасли растениеводства в результате применения высокоурожайных сортов сельскохозяйственных культур, осуществления </w:t>
      </w:r>
      <w:r w:rsidRPr="00783E62">
        <w:rPr>
          <w:sz w:val="28"/>
          <w:szCs w:val="28"/>
        </w:rPr>
        <w:lastRenderedPageBreak/>
        <w:t>комплекса мероприятий по повышению плодородия почв, оптимизации структуры посевных площадей и сельскохозяйств</w:t>
      </w:r>
      <w:r w:rsidR="00366F95" w:rsidRPr="00783E62">
        <w:rPr>
          <w:sz w:val="28"/>
          <w:szCs w:val="28"/>
        </w:rPr>
        <w:t>енных угодий, сокращение сроков вегетации растений, улучшение качества и классности урожая</w:t>
      </w:r>
      <w:r w:rsidR="00783E62">
        <w:rPr>
          <w:sz w:val="28"/>
          <w:szCs w:val="28"/>
        </w:rPr>
        <w:t>.</w:t>
      </w:r>
    </w:p>
    <w:p w:rsidR="00B8497B" w:rsidRPr="00783E62" w:rsidRDefault="00366F95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E62">
        <w:rPr>
          <w:sz w:val="28"/>
          <w:szCs w:val="28"/>
        </w:rPr>
        <w:t xml:space="preserve"> </w:t>
      </w:r>
      <w:r w:rsidR="00BE35DB" w:rsidRPr="00783E62">
        <w:rPr>
          <w:sz w:val="28"/>
          <w:szCs w:val="28"/>
        </w:rPr>
        <w:t xml:space="preserve">Также ожидается увеличение производства продукции в отрасли животноводства в результате роста поголовья высокопродуктивных сельскохозяйственных животных, </w:t>
      </w:r>
      <w:r w:rsidRPr="00783E62">
        <w:rPr>
          <w:sz w:val="28"/>
          <w:szCs w:val="28"/>
        </w:rPr>
        <w:t xml:space="preserve">улучшение сортности молока,        </w:t>
      </w:r>
      <w:r w:rsidR="00BE35DB" w:rsidRPr="00783E62">
        <w:rPr>
          <w:sz w:val="28"/>
          <w:szCs w:val="28"/>
        </w:rPr>
        <w:t>применения полноценных рационов кормления и высокоэнергетических кормов, совершенствования селекционно-племенной работы, применения современных технологий содержания, кормления животных и птицы, ввода в эксплуатацию новых производственных мощностей и завершение реконструкции и модернизации действующих производств.</w:t>
      </w:r>
    </w:p>
    <w:p w:rsidR="00B8497B" w:rsidRPr="001D55CD" w:rsidRDefault="00B8497B" w:rsidP="00E23C79">
      <w:pPr>
        <w:spacing w:line="0" w:lineRule="atLeast"/>
        <w:ind w:firstLine="709"/>
        <w:jc w:val="both"/>
        <w:rPr>
          <w:sz w:val="28"/>
          <w:szCs w:val="28"/>
        </w:rPr>
      </w:pPr>
      <w:r w:rsidRPr="00783E62">
        <w:rPr>
          <w:sz w:val="28"/>
          <w:szCs w:val="28"/>
        </w:rPr>
        <w:t>Сфера торговли, общественного питания и услуг насел</w:t>
      </w:r>
      <w:r w:rsidRPr="001D55CD">
        <w:rPr>
          <w:sz w:val="28"/>
          <w:szCs w:val="28"/>
        </w:rPr>
        <w:t>ению не относится к числу основных видов экономической деятельности, однако играет существенную роль в социально-экономическом развитии территории.</w:t>
      </w:r>
    </w:p>
    <w:p w:rsidR="00144BA8" w:rsidRPr="001D55CD" w:rsidRDefault="00144BA8" w:rsidP="00E23C79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>Сектор характеризуется наименьшим уровнем бизнес-риска. В целом, благодаря стабильному спросу на продукты питания, гибкости по отношению к ассортиментной и ценовой политике для удержания оборотов торговли на относительно стабильном уровне.</w:t>
      </w:r>
    </w:p>
    <w:p w:rsidR="00144BA8" w:rsidRPr="001D55CD" w:rsidRDefault="00144BA8" w:rsidP="00E23C79">
      <w:pPr>
        <w:spacing w:line="0" w:lineRule="atLeast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>Большую роль в удовлетворении потребностей покупателей промышленными товарами и продуктами питания играют индивидуальные предприниматели.</w:t>
      </w:r>
    </w:p>
    <w:p w:rsidR="00B8497B" w:rsidRPr="001D55CD" w:rsidRDefault="004B2183" w:rsidP="00E23C7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497B" w:rsidRPr="001D55CD">
        <w:rPr>
          <w:sz w:val="28"/>
          <w:szCs w:val="28"/>
        </w:rPr>
        <w:t>борот розничной торговли в 20</w:t>
      </w:r>
      <w:r w:rsidR="00AB5332">
        <w:rPr>
          <w:sz w:val="28"/>
          <w:szCs w:val="28"/>
        </w:rPr>
        <w:t>2</w:t>
      </w:r>
      <w:r w:rsidR="003227E2">
        <w:rPr>
          <w:sz w:val="28"/>
          <w:szCs w:val="28"/>
        </w:rPr>
        <w:t>2</w:t>
      </w:r>
      <w:r w:rsidR="00B8497B" w:rsidRPr="001D55CD">
        <w:rPr>
          <w:sz w:val="28"/>
          <w:szCs w:val="28"/>
        </w:rPr>
        <w:t xml:space="preserve"> году составил </w:t>
      </w:r>
      <w:r w:rsidR="007D2C9C">
        <w:rPr>
          <w:sz w:val="28"/>
          <w:szCs w:val="28"/>
        </w:rPr>
        <w:t>2</w:t>
      </w:r>
      <w:r w:rsidR="003227E2">
        <w:rPr>
          <w:sz w:val="28"/>
          <w:szCs w:val="28"/>
        </w:rPr>
        <w:t>1</w:t>
      </w:r>
      <w:r w:rsidR="007D2C9C">
        <w:rPr>
          <w:sz w:val="28"/>
          <w:szCs w:val="28"/>
        </w:rPr>
        <w:t>8</w:t>
      </w:r>
      <w:r w:rsidR="003227E2">
        <w:rPr>
          <w:sz w:val="28"/>
          <w:szCs w:val="28"/>
        </w:rPr>
        <w:t>6</w:t>
      </w:r>
      <w:r w:rsidR="007D2C9C">
        <w:rPr>
          <w:sz w:val="28"/>
          <w:szCs w:val="28"/>
        </w:rPr>
        <w:t>,8</w:t>
      </w:r>
      <w:r w:rsidR="00B8497B" w:rsidRPr="001D55CD">
        <w:rPr>
          <w:sz w:val="28"/>
          <w:szCs w:val="28"/>
        </w:rPr>
        <w:t xml:space="preserve"> млн. рублей, или </w:t>
      </w:r>
      <w:r w:rsidR="00366F95">
        <w:rPr>
          <w:sz w:val="28"/>
          <w:szCs w:val="28"/>
        </w:rPr>
        <w:t>10</w:t>
      </w:r>
      <w:r w:rsidR="007D2C9C">
        <w:rPr>
          <w:sz w:val="28"/>
          <w:szCs w:val="28"/>
        </w:rPr>
        <w:t>8</w:t>
      </w:r>
      <w:r w:rsidR="00366F95">
        <w:rPr>
          <w:sz w:val="28"/>
          <w:szCs w:val="28"/>
        </w:rPr>
        <w:t>,</w:t>
      </w:r>
      <w:r w:rsidR="00047130">
        <w:rPr>
          <w:sz w:val="28"/>
          <w:szCs w:val="28"/>
        </w:rPr>
        <w:t>9</w:t>
      </w:r>
      <w:r w:rsidR="00B8497B" w:rsidRPr="001D55CD">
        <w:rPr>
          <w:sz w:val="28"/>
          <w:szCs w:val="28"/>
        </w:rPr>
        <w:t xml:space="preserve"> </w:t>
      </w:r>
      <w:r w:rsidR="00144BA8" w:rsidRPr="001D55CD">
        <w:rPr>
          <w:sz w:val="28"/>
          <w:szCs w:val="28"/>
        </w:rPr>
        <w:t>процента</w:t>
      </w:r>
      <w:r w:rsidR="00B8497B" w:rsidRPr="001D55CD">
        <w:rPr>
          <w:sz w:val="28"/>
          <w:szCs w:val="28"/>
        </w:rPr>
        <w:t xml:space="preserve"> к уровню 20</w:t>
      </w:r>
      <w:r w:rsidR="007D2C9C">
        <w:rPr>
          <w:sz w:val="28"/>
          <w:szCs w:val="28"/>
        </w:rPr>
        <w:t>2</w:t>
      </w:r>
      <w:r w:rsidR="003227E2">
        <w:rPr>
          <w:sz w:val="28"/>
          <w:szCs w:val="28"/>
        </w:rPr>
        <w:t>1</w:t>
      </w:r>
      <w:r w:rsidR="00B8497B" w:rsidRPr="001D55CD">
        <w:rPr>
          <w:sz w:val="28"/>
          <w:szCs w:val="28"/>
        </w:rPr>
        <w:t xml:space="preserve"> года в сопоставимых ценах. Оценка товарооборота 20</w:t>
      </w:r>
      <w:r w:rsidR="00047130">
        <w:rPr>
          <w:sz w:val="28"/>
          <w:szCs w:val="28"/>
        </w:rPr>
        <w:t>2</w:t>
      </w:r>
      <w:r w:rsidR="003227E2">
        <w:rPr>
          <w:sz w:val="28"/>
          <w:szCs w:val="28"/>
        </w:rPr>
        <w:t>3</w:t>
      </w:r>
      <w:r w:rsidR="00B8497B" w:rsidRPr="001D55CD">
        <w:rPr>
          <w:sz w:val="28"/>
          <w:szCs w:val="28"/>
        </w:rPr>
        <w:t xml:space="preserve"> года достигнет объема </w:t>
      </w:r>
      <w:r w:rsidR="007D2C9C">
        <w:rPr>
          <w:sz w:val="28"/>
          <w:szCs w:val="28"/>
        </w:rPr>
        <w:t>2</w:t>
      </w:r>
      <w:r w:rsidR="003227E2">
        <w:rPr>
          <w:sz w:val="28"/>
          <w:szCs w:val="28"/>
        </w:rPr>
        <w:t>252</w:t>
      </w:r>
      <w:r w:rsidR="007D2C9C">
        <w:rPr>
          <w:sz w:val="28"/>
          <w:szCs w:val="28"/>
        </w:rPr>
        <w:t>,</w:t>
      </w:r>
      <w:r w:rsidR="003227E2">
        <w:rPr>
          <w:sz w:val="28"/>
          <w:szCs w:val="28"/>
        </w:rPr>
        <w:t>4</w:t>
      </w:r>
      <w:r w:rsidR="00B8497B" w:rsidRPr="001D55CD">
        <w:rPr>
          <w:sz w:val="28"/>
          <w:szCs w:val="28"/>
        </w:rPr>
        <w:t xml:space="preserve"> млн. рублей с учето</w:t>
      </w:r>
      <w:r w:rsidR="00047130">
        <w:rPr>
          <w:sz w:val="28"/>
          <w:szCs w:val="28"/>
        </w:rPr>
        <w:t>м величины индекса дефлятора 202</w:t>
      </w:r>
      <w:r w:rsidR="003227E2">
        <w:rPr>
          <w:sz w:val="28"/>
          <w:szCs w:val="28"/>
        </w:rPr>
        <w:t>3</w:t>
      </w:r>
      <w:r w:rsidR="00023B8C">
        <w:rPr>
          <w:sz w:val="28"/>
          <w:szCs w:val="28"/>
        </w:rPr>
        <w:t xml:space="preserve"> </w:t>
      </w:r>
      <w:r w:rsidR="00B8497B" w:rsidRPr="001D55CD">
        <w:rPr>
          <w:sz w:val="28"/>
          <w:szCs w:val="28"/>
        </w:rPr>
        <w:t xml:space="preserve">года </w:t>
      </w:r>
      <w:r w:rsidR="00781ACB">
        <w:rPr>
          <w:sz w:val="28"/>
          <w:szCs w:val="28"/>
        </w:rPr>
        <w:t>100,0 процентов.</w:t>
      </w:r>
    </w:p>
    <w:p w:rsidR="00B8497B" w:rsidRPr="001D55CD" w:rsidRDefault="00B8497B" w:rsidP="00E23C79">
      <w:pPr>
        <w:spacing w:line="0" w:lineRule="atLeast"/>
        <w:ind w:firstLine="709"/>
        <w:jc w:val="both"/>
        <w:rPr>
          <w:sz w:val="28"/>
          <w:szCs w:val="28"/>
        </w:rPr>
      </w:pPr>
      <w:r w:rsidRPr="007A354A">
        <w:rPr>
          <w:sz w:val="28"/>
          <w:szCs w:val="28"/>
        </w:rPr>
        <w:t>Прогнозный период характеризуется не высокой потребительской активностью, который к 202</w:t>
      </w:r>
      <w:r w:rsidR="003227E2">
        <w:rPr>
          <w:sz w:val="28"/>
          <w:szCs w:val="28"/>
        </w:rPr>
        <w:t>6</w:t>
      </w:r>
      <w:r w:rsidR="007D2C9C">
        <w:rPr>
          <w:sz w:val="28"/>
          <w:szCs w:val="28"/>
        </w:rPr>
        <w:t xml:space="preserve"> </w:t>
      </w:r>
      <w:r w:rsidRPr="007A354A">
        <w:rPr>
          <w:sz w:val="28"/>
          <w:szCs w:val="28"/>
        </w:rPr>
        <w:t xml:space="preserve">году достигнет </w:t>
      </w:r>
      <w:r w:rsidR="00407AD0" w:rsidRPr="007A354A">
        <w:rPr>
          <w:sz w:val="28"/>
          <w:szCs w:val="28"/>
        </w:rPr>
        <w:t>10</w:t>
      </w:r>
      <w:r w:rsidR="00B6295E" w:rsidRPr="007A354A">
        <w:rPr>
          <w:sz w:val="28"/>
          <w:szCs w:val="28"/>
        </w:rPr>
        <w:t>1</w:t>
      </w:r>
      <w:r w:rsidR="00407AD0" w:rsidRPr="007A354A">
        <w:rPr>
          <w:sz w:val="28"/>
          <w:szCs w:val="28"/>
        </w:rPr>
        <w:t>,</w:t>
      </w:r>
      <w:r w:rsidR="00B6295E" w:rsidRPr="007A354A">
        <w:rPr>
          <w:sz w:val="28"/>
          <w:szCs w:val="28"/>
        </w:rPr>
        <w:t xml:space="preserve">5 </w:t>
      </w:r>
      <w:r w:rsidR="00417D48" w:rsidRPr="007A354A">
        <w:rPr>
          <w:sz w:val="28"/>
          <w:szCs w:val="28"/>
        </w:rPr>
        <w:t>процента</w:t>
      </w:r>
      <w:r w:rsidRPr="007A354A">
        <w:rPr>
          <w:sz w:val="28"/>
          <w:szCs w:val="28"/>
        </w:rPr>
        <w:t xml:space="preserve"> или </w:t>
      </w:r>
      <w:r w:rsidR="003227E2">
        <w:rPr>
          <w:sz w:val="28"/>
          <w:szCs w:val="28"/>
        </w:rPr>
        <w:t>2413,7</w:t>
      </w:r>
      <w:r w:rsidR="003333CB" w:rsidRPr="007A354A">
        <w:rPr>
          <w:sz w:val="28"/>
          <w:szCs w:val="28"/>
        </w:rPr>
        <w:t xml:space="preserve"> млн. рублей.</w:t>
      </w:r>
    </w:p>
    <w:p w:rsidR="00407AD0" w:rsidRPr="001D55CD" w:rsidRDefault="007B2C46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C68">
        <w:rPr>
          <w:sz w:val="28"/>
          <w:szCs w:val="28"/>
        </w:rPr>
        <w:t>За 20</w:t>
      </w:r>
      <w:r w:rsidR="007B3166" w:rsidRPr="00900C68">
        <w:rPr>
          <w:sz w:val="28"/>
          <w:szCs w:val="28"/>
        </w:rPr>
        <w:t>2</w:t>
      </w:r>
      <w:r w:rsidR="003227E2">
        <w:rPr>
          <w:sz w:val="28"/>
          <w:szCs w:val="28"/>
        </w:rPr>
        <w:t>2</w:t>
      </w:r>
      <w:r w:rsidRPr="00900C68">
        <w:rPr>
          <w:sz w:val="28"/>
          <w:szCs w:val="28"/>
        </w:rPr>
        <w:t xml:space="preserve"> год объем ввода в действие жилых домов состави</w:t>
      </w:r>
      <w:r w:rsidR="00AB74A3" w:rsidRPr="00900C68">
        <w:rPr>
          <w:sz w:val="28"/>
          <w:szCs w:val="28"/>
        </w:rPr>
        <w:t xml:space="preserve">л </w:t>
      </w:r>
      <w:r w:rsidR="003227E2">
        <w:rPr>
          <w:sz w:val="28"/>
          <w:szCs w:val="28"/>
        </w:rPr>
        <w:t>4,9</w:t>
      </w:r>
      <w:r w:rsidR="00AB74A3" w:rsidRPr="00900C68">
        <w:rPr>
          <w:sz w:val="28"/>
          <w:szCs w:val="28"/>
        </w:rPr>
        <w:t xml:space="preserve"> тыс. кв. метров, п</w:t>
      </w:r>
      <w:r w:rsidR="000458F7" w:rsidRPr="00900C68">
        <w:rPr>
          <w:sz w:val="28"/>
          <w:szCs w:val="28"/>
        </w:rPr>
        <w:t>родолжится реализация мер, направленных на улучшение жилищных условий населения. В 20</w:t>
      </w:r>
      <w:r w:rsidR="00750122" w:rsidRPr="00900C68">
        <w:rPr>
          <w:sz w:val="28"/>
          <w:szCs w:val="28"/>
        </w:rPr>
        <w:t>2</w:t>
      </w:r>
      <w:r w:rsidR="003227E2">
        <w:rPr>
          <w:sz w:val="28"/>
          <w:szCs w:val="28"/>
        </w:rPr>
        <w:t>3</w:t>
      </w:r>
      <w:r w:rsidR="000458F7" w:rsidRPr="00900C68">
        <w:rPr>
          <w:sz w:val="28"/>
          <w:szCs w:val="28"/>
        </w:rPr>
        <w:t xml:space="preserve"> году прогнозируемый объем ввода в действие жилых домов составит </w:t>
      </w:r>
      <w:r w:rsidR="003227E2">
        <w:rPr>
          <w:sz w:val="28"/>
          <w:szCs w:val="28"/>
        </w:rPr>
        <w:t>5,0</w:t>
      </w:r>
      <w:r w:rsidR="00B71D6B" w:rsidRPr="00900C68">
        <w:rPr>
          <w:sz w:val="28"/>
          <w:szCs w:val="28"/>
        </w:rPr>
        <w:t xml:space="preserve"> </w:t>
      </w:r>
      <w:r w:rsidR="000458F7" w:rsidRPr="00900C68">
        <w:rPr>
          <w:sz w:val="28"/>
          <w:szCs w:val="28"/>
        </w:rPr>
        <w:t>тыс. кв. метров</w:t>
      </w:r>
      <w:r w:rsidR="000458F7" w:rsidRPr="001D55CD">
        <w:rPr>
          <w:sz w:val="28"/>
          <w:szCs w:val="28"/>
        </w:rPr>
        <w:t xml:space="preserve">. </w:t>
      </w:r>
      <w:r w:rsidR="00AB74A3" w:rsidRPr="001D55CD">
        <w:rPr>
          <w:sz w:val="28"/>
          <w:szCs w:val="28"/>
        </w:rPr>
        <w:t>Н</w:t>
      </w:r>
      <w:r w:rsidR="000458F7" w:rsidRPr="001D55CD">
        <w:rPr>
          <w:sz w:val="28"/>
          <w:szCs w:val="28"/>
        </w:rPr>
        <w:t>а период 20</w:t>
      </w:r>
      <w:r w:rsidR="00366F95">
        <w:rPr>
          <w:sz w:val="28"/>
          <w:szCs w:val="28"/>
        </w:rPr>
        <w:t>2</w:t>
      </w:r>
      <w:r w:rsidR="003227E2">
        <w:rPr>
          <w:sz w:val="28"/>
          <w:szCs w:val="28"/>
        </w:rPr>
        <w:t>4</w:t>
      </w:r>
      <w:r w:rsidR="00750122">
        <w:rPr>
          <w:sz w:val="28"/>
          <w:szCs w:val="28"/>
        </w:rPr>
        <w:t xml:space="preserve"> </w:t>
      </w:r>
      <w:r w:rsidR="003227E2">
        <w:rPr>
          <w:sz w:val="28"/>
          <w:szCs w:val="28"/>
        </w:rPr>
        <w:t>–</w:t>
      </w:r>
      <w:r w:rsidR="000458F7" w:rsidRPr="001D55CD">
        <w:rPr>
          <w:sz w:val="28"/>
          <w:szCs w:val="28"/>
        </w:rPr>
        <w:t xml:space="preserve"> 202</w:t>
      </w:r>
      <w:r w:rsidR="003227E2">
        <w:rPr>
          <w:sz w:val="28"/>
          <w:szCs w:val="28"/>
        </w:rPr>
        <w:t xml:space="preserve">6 </w:t>
      </w:r>
      <w:r w:rsidR="000458F7" w:rsidRPr="001D55CD">
        <w:rPr>
          <w:sz w:val="28"/>
          <w:szCs w:val="28"/>
        </w:rPr>
        <w:t xml:space="preserve">годы объем ввода общей площади жилых домов </w:t>
      </w:r>
      <w:r w:rsidR="00750122" w:rsidRPr="001D55CD">
        <w:rPr>
          <w:sz w:val="28"/>
          <w:szCs w:val="28"/>
        </w:rPr>
        <w:t xml:space="preserve">составит </w:t>
      </w:r>
      <w:r w:rsidR="003227E2">
        <w:rPr>
          <w:sz w:val="28"/>
          <w:szCs w:val="28"/>
        </w:rPr>
        <w:t>4,9</w:t>
      </w:r>
      <w:r w:rsidR="000458F7" w:rsidRPr="001D55CD">
        <w:rPr>
          <w:sz w:val="28"/>
          <w:szCs w:val="28"/>
        </w:rPr>
        <w:t xml:space="preserve"> </w:t>
      </w:r>
      <w:r w:rsidR="00366F95">
        <w:rPr>
          <w:sz w:val="28"/>
          <w:szCs w:val="28"/>
        </w:rPr>
        <w:t>–</w:t>
      </w:r>
      <w:r w:rsidR="000458F7" w:rsidRPr="001D55CD">
        <w:rPr>
          <w:sz w:val="28"/>
          <w:szCs w:val="28"/>
        </w:rPr>
        <w:t xml:space="preserve"> </w:t>
      </w:r>
      <w:r w:rsidR="00900C68">
        <w:rPr>
          <w:sz w:val="28"/>
          <w:szCs w:val="28"/>
        </w:rPr>
        <w:t>5,</w:t>
      </w:r>
      <w:r w:rsidR="003227E2">
        <w:rPr>
          <w:sz w:val="28"/>
          <w:szCs w:val="28"/>
        </w:rPr>
        <w:t>3</w:t>
      </w:r>
      <w:r w:rsidR="000458F7" w:rsidRPr="001D55CD">
        <w:rPr>
          <w:sz w:val="28"/>
          <w:szCs w:val="28"/>
        </w:rPr>
        <w:t xml:space="preserve"> тыс. кв. метров по вариантам прогноза соответственно. </w:t>
      </w:r>
    </w:p>
    <w:p w:rsidR="00407AD0" w:rsidRPr="001D55CD" w:rsidRDefault="00407AD0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  <w:lang w:eastAsia="ar-SA"/>
        </w:rPr>
        <w:t>Трудовые ресурсы, и их качество, создание условий для сохранения и повышения уровня занятости населения во многом предопределяют социально-экономическое развитие Исилькульского муниципального района.</w:t>
      </w:r>
    </w:p>
    <w:p w:rsidR="00AE3B73" w:rsidRPr="00AE3B73" w:rsidRDefault="00AE3B73" w:rsidP="00AE3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B73">
        <w:rPr>
          <w:sz w:val="28"/>
          <w:szCs w:val="28"/>
        </w:rPr>
        <w:t>Численность экономически активного населения на 01.01.202</w:t>
      </w:r>
      <w:r w:rsidR="00574F83">
        <w:rPr>
          <w:sz w:val="28"/>
          <w:szCs w:val="28"/>
        </w:rPr>
        <w:t>3</w:t>
      </w:r>
      <w:r w:rsidRPr="00AE3B73">
        <w:rPr>
          <w:sz w:val="28"/>
          <w:szCs w:val="28"/>
        </w:rPr>
        <w:t xml:space="preserve"> года составила 1</w:t>
      </w:r>
      <w:r w:rsidR="00900C68">
        <w:rPr>
          <w:sz w:val="28"/>
          <w:szCs w:val="28"/>
        </w:rPr>
        <w:t>7</w:t>
      </w:r>
      <w:r w:rsidR="00574F83">
        <w:rPr>
          <w:sz w:val="28"/>
          <w:szCs w:val="28"/>
        </w:rPr>
        <w:t>669 человек</w:t>
      </w:r>
      <w:r w:rsidRPr="00AE3B73">
        <w:rPr>
          <w:sz w:val="28"/>
          <w:szCs w:val="28"/>
        </w:rPr>
        <w:t>, по оценке 202</w:t>
      </w:r>
      <w:r w:rsidR="00574F83">
        <w:rPr>
          <w:sz w:val="28"/>
          <w:szCs w:val="28"/>
        </w:rPr>
        <w:t>3</w:t>
      </w:r>
      <w:r w:rsidRPr="00AE3B73">
        <w:rPr>
          <w:sz w:val="28"/>
          <w:szCs w:val="28"/>
        </w:rPr>
        <w:t xml:space="preserve"> года показатель определен на уровне 1</w:t>
      </w:r>
      <w:r w:rsidR="00900C68">
        <w:rPr>
          <w:sz w:val="28"/>
          <w:szCs w:val="28"/>
        </w:rPr>
        <w:t>7</w:t>
      </w:r>
      <w:r w:rsidR="00574F83">
        <w:rPr>
          <w:sz w:val="28"/>
          <w:szCs w:val="28"/>
        </w:rPr>
        <w:t>84</w:t>
      </w:r>
      <w:r w:rsidR="00900C68">
        <w:rPr>
          <w:sz w:val="28"/>
          <w:szCs w:val="28"/>
        </w:rPr>
        <w:t>2</w:t>
      </w:r>
      <w:r w:rsidRPr="00AE3B73">
        <w:rPr>
          <w:sz w:val="28"/>
          <w:szCs w:val="28"/>
        </w:rPr>
        <w:t xml:space="preserve"> человек</w:t>
      </w:r>
      <w:r w:rsidR="00574F83">
        <w:rPr>
          <w:sz w:val="28"/>
          <w:szCs w:val="28"/>
        </w:rPr>
        <w:t>а</w:t>
      </w:r>
      <w:r w:rsidRPr="00AE3B73">
        <w:rPr>
          <w:sz w:val="28"/>
          <w:szCs w:val="28"/>
        </w:rPr>
        <w:t xml:space="preserve"> (100.</w:t>
      </w:r>
      <w:r w:rsidR="00900C68">
        <w:rPr>
          <w:sz w:val="28"/>
          <w:szCs w:val="28"/>
        </w:rPr>
        <w:t>9</w:t>
      </w:r>
      <w:r w:rsidRPr="00AE3B73">
        <w:rPr>
          <w:sz w:val="28"/>
          <w:szCs w:val="28"/>
        </w:rPr>
        <w:t xml:space="preserve"> процента к уровню 202</w:t>
      </w:r>
      <w:r w:rsidR="00574F83">
        <w:rPr>
          <w:sz w:val="28"/>
          <w:szCs w:val="28"/>
        </w:rPr>
        <w:t>2</w:t>
      </w:r>
      <w:r w:rsidRPr="00AE3B73">
        <w:rPr>
          <w:sz w:val="28"/>
          <w:szCs w:val="28"/>
        </w:rPr>
        <w:t xml:space="preserve"> года).</w:t>
      </w:r>
    </w:p>
    <w:p w:rsidR="00AE3B73" w:rsidRPr="00AE3B73" w:rsidRDefault="00AE3B73" w:rsidP="00AE3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B73">
        <w:rPr>
          <w:sz w:val="28"/>
          <w:szCs w:val="28"/>
        </w:rPr>
        <w:t>Численность официально зарегистрированных безработных в службе занятости населения района на 1 января 202</w:t>
      </w:r>
      <w:r w:rsidR="00574F83">
        <w:rPr>
          <w:sz w:val="28"/>
          <w:szCs w:val="28"/>
        </w:rPr>
        <w:t>3</w:t>
      </w:r>
      <w:r w:rsidRPr="00AE3B73">
        <w:rPr>
          <w:sz w:val="28"/>
          <w:szCs w:val="28"/>
        </w:rPr>
        <w:t xml:space="preserve"> </w:t>
      </w:r>
      <w:r w:rsidRPr="00CE449C">
        <w:rPr>
          <w:sz w:val="28"/>
          <w:szCs w:val="28"/>
        </w:rPr>
        <w:t xml:space="preserve">года составила </w:t>
      </w:r>
      <w:r w:rsidR="00CE449C" w:rsidRPr="00CE449C">
        <w:rPr>
          <w:sz w:val="28"/>
          <w:szCs w:val="28"/>
        </w:rPr>
        <w:t>349</w:t>
      </w:r>
      <w:r w:rsidRPr="00CE449C">
        <w:rPr>
          <w:sz w:val="28"/>
          <w:szCs w:val="28"/>
        </w:rPr>
        <w:t xml:space="preserve"> человек, что на </w:t>
      </w:r>
      <w:r w:rsidR="00FD038E">
        <w:rPr>
          <w:sz w:val="28"/>
          <w:szCs w:val="28"/>
        </w:rPr>
        <w:t>3</w:t>
      </w:r>
      <w:bookmarkStart w:id="0" w:name="_GoBack"/>
      <w:bookmarkEnd w:id="0"/>
      <w:r w:rsidR="00574F83" w:rsidRPr="00CE449C">
        <w:rPr>
          <w:sz w:val="28"/>
          <w:szCs w:val="28"/>
        </w:rPr>
        <w:t>0,0</w:t>
      </w:r>
      <w:r w:rsidRPr="00CE449C">
        <w:rPr>
          <w:sz w:val="28"/>
          <w:szCs w:val="28"/>
        </w:rPr>
        <w:t xml:space="preserve"> процент</w:t>
      </w:r>
      <w:r w:rsidR="00574F83" w:rsidRPr="00CE449C">
        <w:rPr>
          <w:sz w:val="28"/>
          <w:szCs w:val="28"/>
        </w:rPr>
        <w:t xml:space="preserve">ов </w:t>
      </w:r>
      <w:r w:rsidR="00900C68" w:rsidRPr="00CE449C">
        <w:rPr>
          <w:sz w:val="28"/>
          <w:szCs w:val="28"/>
        </w:rPr>
        <w:t>ниж</w:t>
      </w:r>
      <w:r w:rsidRPr="00CE449C">
        <w:rPr>
          <w:sz w:val="28"/>
          <w:szCs w:val="28"/>
        </w:rPr>
        <w:t>е уровня прошлого года, показатель</w:t>
      </w:r>
      <w:r w:rsidRPr="00AE3B73">
        <w:rPr>
          <w:sz w:val="28"/>
          <w:szCs w:val="28"/>
        </w:rPr>
        <w:t xml:space="preserve"> у</w:t>
      </w:r>
      <w:r w:rsidR="00900C68">
        <w:rPr>
          <w:sz w:val="28"/>
          <w:szCs w:val="28"/>
        </w:rPr>
        <w:t>меньши</w:t>
      </w:r>
      <w:r w:rsidRPr="00AE3B73">
        <w:rPr>
          <w:sz w:val="28"/>
          <w:szCs w:val="28"/>
        </w:rPr>
        <w:t>лся на</w:t>
      </w:r>
      <w:r w:rsidR="00900C68">
        <w:rPr>
          <w:sz w:val="28"/>
          <w:szCs w:val="28"/>
        </w:rPr>
        <w:t> </w:t>
      </w:r>
      <w:r w:rsidR="00574F83">
        <w:rPr>
          <w:sz w:val="28"/>
          <w:szCs w:val="28"/>
        </w:rPr>
        <w:t>150</w:t>
      </w:r>
      <w:r w:rsidR="00900C68">
        <w:rPr>
          <w:sz w:val="28"/>
          <w:szCs w:val="28"/>
        </w:rPr>
        <w:t xml:space="preserve"> </w:t>
      </w:r>
      <w:r w:rsidRPr="00AE3B73">
        <w:rPr>
          <w:sz w:val="28"/>
          <w:szCs w:val="28"/>
        </w:rPr>
        <w:t>человек.</w:t>
      </w:r>
    </w:p>
    <w:p w:rsidR="000458F7" w:rsidRPr="001D55CD" w:rsidRDefault="00740C7C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55CD">
        <w:rPr>
          <w:sz w:val="28"/>
          <w:szCs w:val="28"/>
        </w:rPr>
        <w:t xml:space="preserve"> </w:t>
      </w:r>
      <w:r w:rsidR="000458F7" w:rsidRPr="001D55CD">
        <w:rPr>
          <w:sz w:val="28"/>
          <w:szCs w:val="28"/>
        </w:rPr>
        <w:t>Прогнозная оценка развития занятости населения в 20</w:t>
      </w:r>
      <w:r w:rsidR="002A5A3A">
        <w:rPr>
          <w:sz w:val="28"/>
          <w:szCs w:val="28"/>
        </w:rPr>
        <w:t>2</w:t>
      </w:r>
      <w:r w:rsidR="00B17745">
        <w:rPr>
          <w:sz w:val="28"/>
          <w:szCs w:val="28"/>
        </w:rPr>
        <w:t>4</w:t>
      </w:r>
      <w:r w:rsidR="00750122">
        <w:rPr>
          <w:sz w:val="28"/>
          <w:szCs w:val="28"/>
        </w:rPr>
        <w:t xml:space="preserve"> </w:t>
      </w:r>
      <w:r w:rsidR="000458F7" w:rsidRPr="001D55CD">
        <w:rPr>
          <w:sz w:val="28"/>
          <w:szCs w:val="28"/>
        </w:rPr>
        <w:t>- 202</w:t>
      </w:r>
      <w:r w:rsidR="00B17745">
        <w:rPr>
          <w:sz w:val="28"/>
          <w:szCs w:val="28"/>
        </w:rPr>
        <w:t>6</w:t>
      </w:r>
      <w:r w:rsidR="000458F7" w:rsidRPr="001D55CD">
        <w:rPr>
          <w:sz w:val="28"/>
          <w:szCs w:val="28"/>
        </w:rPr>
        <w:t xml:space="preserve"> годах базируется на постепенном повышении востреб</w:t>
      </w:r>
      <w:r w:rsidR="002E4A40" w:rsidRPr="001D55CD">
        <w:rPr>
          <w:sz w:val="28"/>
          <w:szCs w:val="28"/>
        </w:rPr>
        <w:t>о</w:t>
      </w:r>
      <w:r w:rsidR="000458F7" w:rsidRPr="001D55CD">
        <w:rPr>
          <w:sz w:val="28"/>
          <w:szCs w:val="28"/>
        </w:rPr>
        <w:t>ванности трудовых ресурсов в экономике</w:t>
      </w:r>
      <w:r w:rsidR="00A40922" w:rsidRPr="001D55CD">
        <w:rPr>
          <w:sz w:val="28"/>
          <w:szCs w:val="28"/>
        </w:rPr>
        <w:t>.</w:t>
      </w:r>
    </w:p>
    <w:p w:rsidR="0040237D" w:rsidRPr="00EC338B" w:rsidRDefault="00740C7C" w:rsidP="00E23C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338B">
        <w:rPr>
          <w:sz w:val="28"/>
          <w:szCs w:val="28"/>
        </w:rPr>
        <w:lastRenderedPageBreak/>
        <w:t>В среднесрочной пер</w:t>
      </w:r>
      <w:r w:rsidR="009572C7" w:rsidRPr="00EC338B">
        <w:rPr>
          <w:sz w:val="28"/>
          <w:szCs w:val="28"/>
        </w:rPr>
        <w:t>спективе на рынке труда в 20</w:t>
      </w:r>
      <w:r w:rsidR="002A5A3A" w:rsidRPr="00EC338B">
        <w:rPr>
          <w:sz w:val="28"/>
          <w:szCs w:val="28"/>
        </w:rPr>
        <w:t>2</w:t>
      </w:r>
      <w:r w:rsidR="00B17745">
        <w:rPr>
          <w:sz w:val="28"/>
          <w:szCs w:val="28"/>
        </w:rPr>
        <w:t>4</w:t>
      </w:r>
      <w:r w:rsidR="009572C7" w:rsidRPr="00EC338B">
        <w:rPr>
          <w:sz w:val="28"/>
          <w:szCs w:val="28"/>
        </w:rPr>
        <w:t xml:space="preserve"> -</w:t>
      </w:r>
      <w:r w:rsidRPr="00EC338B">
        <w:rPr>
          <w:sz w:val="28"/>
          <w:szCs w:val="28"/>
        </w:rPr>
        <w:t xml:space="preserve"> 202</w:t>
      </w:r>
      <w:r w:rsidR="00B17745">
        <w:rPr>
          <w:sz w:val="28"/>
          <w:szCs w:val="28"/>
        </w:rPr>
        <w:t>6</w:t>
      </w:r>
      <w:r w:rsidRPr="00EC338B">
        <w:rPr>
          <w:sz w:val="28"/>
          <w:szCs w:val="28"/>
        </w:rPr>
        <w:t xml:space="preserve"> годах показатель зарегистрированной </w:t>
      </w:r>
      <w:r w:rsidR="00750122" w:rsidRPr="00EC338B">
        <w:rPr>
          <w:sz w:val="28"/>
          <w:szCs w:val="28"/>
        </w:rPr>
        <w:t xml:space="preserve">безработицы прогнозируется не выше </w:t>
      </w:r>
      <w:r w:rsidR="00574F83">
        <w:rPr>
          <w:sz w:val="28"/>
          <w:szCs w:val="28"/>
        </w:rPr>
        <w:t>1</w:t>
      </w:r>
      <w:r w:rsidR="00031C98" w:rsidRPr="00EC338B">
        <w:rPr>
          <w:sz w:val="28"/>
          <w:szCs w:val="28"/>
        </w:rPr>
        <w:t>,</w:t>
      </w:r>
      <w:r w:rsidR="00EC338B" w:rsidRPr="00EC338B">
        <w:rPr>
          <w:sz w:val="28"/>
          <w:szCs w:val="28"/>
        </w:rPr>
        <w:t>8</w:t>
      </w:r>
      <w:r w:rsidR="00750122" w:rsidRPr="00EC338B">
        <w:rPr>
          <w:sz w:val="28"/>
          <w:szCs w:val="28"/>
        </w:rPr>
        <w:t xml:space="preserve"> процента</w:t>
      </w:r>
      <w:r w:rsidRPr="00EC338B">
        <w:rPr>
          <w:sz w:val="28"/>
          <w:szCs w:val="28"/>
        </w:rPr>
        <w:t xml:space="preserve"> </w:t>
      </w:r>
      <w:r w:rsidR="00A40922" w:rsidRPr="00EC338B">
        <w:rPr>
          <w:sz w:val="28"/>
          <w:szCs w:val="28"/>
        </w:rPr>
        <w:t>от численности экономически активного населения Исилькульского муниципального района.</w:t>
      </w:r>
    </w:p>
    <w:p w:rsidR="00F512A4" w:rsidRPr="001D55CD" w:rsidRDefault="00F512A4" w:rsidP="00E23C79">
      <w:pPr>
        <w:ind w:firstLine="709"/>
        <w:jc w:val="both"/>
        <w:rPr>
          <w:sz w:val="28"/>
          <w:szCs w:val="28"/>
        </w:rPr>
      </w:pPr>
      <w:r w:rsidRPr="00EC338B">
        <w:rPr>
          <w:sz w:val="28"/>
          <w:szCs w:val="28"/>
        </w:rPr>
        <w:t>В 20</w:t>
      </w:r>
      <w:r w:rsidR="002A5A3A" w:rsidRPr="00EC338B">
        <w:rPr>
          <w:sz w:val="28"/>
          <w:szCs w:val="28"/>
        </w:rPr>
        <w:t>2</w:t>
      </w:r>
      <w:r w:rsidR="00B17745">
        <w:rPr>
          <w:sz w:val="28"/>
          <w:szCs w:val="28"/>
        </w:rPr>
        <w:t>4</w:t>
      </w:r>
      <w:r w:rsidRPr="00EC338B">
        <w:rPr>
          <w:sz w:val="28"/>
          <w:szCs w:val="28"/>
        </w:rPr>
        <w:t xml:space="preserve"> - 20</w:t>
      </w:r>
      <w:r w:rsidR="00031C98" w:rsidRPr="00EC338B">
        <w:rPr>
          <w:sz w:val="28"/>
          <w:szCs w:val="28"/>
        </w:rPr>
        <w:t>2</w:t>
      </w:r>
      <w:r w:rsidR="00B17745">
        <w:rPr>
          <w:sz w:val="28"/>
          <w:szCs w:val="28"/>
        </w:rPr>
        <w:t>6</w:t>
      </w:r>
      <w:r w:rsidRPr="00EC338B">
        <w:rPr>
          <w:sz w:val="28"/>
          <w:szCs w:val="28"/>
        </w:rPr>
        <w:t xml:space="preserve"> годах</w:t>
      </w:r>
      <w:r w:rsidRPr="001D55CD">
        <w:rPr>
          <w:sz w:val="28"/>
          <w:szCs w:val="28"/>
        </w:rPr>
        <w:t xml:space="preserve"> прогнозируется постепенно</w:t>
      </w:r>
      <w:r w:rsidR="00DA0518">
        <w:rPr>
          <w:sz w:val="28"/>
          <w:szCs w:val="28"/>
        </w:rPr>
        <w:t>е</w:t>
      </w:r>
      <w:r w:rsidRPr="001D55CD">
        <w:rPr>
          <w:sz w:val="28"/>
          <w:szCs w:val="28"/>
        </w:rPr>
        <w:t xml:space="preserve"> восстановлени</w:t>
      </w:r>
      <w:r w:rsidR="00DA0518">
        <w:rPr>
          <w:sz w:val="28"/>
          <w:szCs w:val="28"/>
        </w:rPr>
        <w:t>е</w:t>
      </w:r>
      <w:r w:rsidRPr="001D55CD">
        <w:rPr>
          <w:sz w:val="28"/>
          <w:szCs w:val="28"/>
        </w:rPr>
        <w:t xml:space="preserve"> положительной динамики основных показателей социально-экономического развития </w:t>
      </w:r>
      <w:r w:rsidR="0033575F" w:rsidRPr="001D55CD">
        <w:rPr>
          <w:sz w:val="28"/>
          <w:szCs w:val="28"/>
        </w:rPr>
        <w:t>Исилькульского муниципального района</w:t>
      </w:r>
      <w:r w:rsidRPr="001D55CD">
        <w:rPr>
          <w:sz w:val="28"/>
          <w:szCs w:val="28"/>
        </w:rPr>
        <w:t xml:space="preserve">, обусловленное стабилизацией макроэкономической ситуации, </w:t>
      </w:r>
      <w:r w:rsidR="002A5A3A" w:rsidRPr="002A5A3A">
        <w:rPr>
          <w:sz w:val="28"/>
          <w:szCs w:val="28"/>
        </w:rPr>
        <w:t>увеличением объемо</w:t>
      </w:r>
      <w:r w:rsidR="002A5A3A">
        <w:rPr>
          <w:sz w:val="28"/>
          <w:szCs w:val="28"/>
        </w:rPr>
        <w:t xml:space="preserve">в инвестиций в основной капитал, </w:t>
      </w:r>
      <w:r w:rsidRPr="001D55CD">
        <w:rPr>
          <w:sz w:val="28"/>
          <w:szCs w:val="28"/>
        </w:rPr>
        <w:t xml:space="preserve">повышением доступности кредитных ресурсов, </w:t>
      </w:r>
      <w:r w:rsidR="002A5A3A" w:rsidRPr="002A5A3A">
        <w:rPr>
          <w:sz w:val="28"/>
          <w:szCs w:val="28"/>
        </w:rPr>
        <w:t>замедлением роста цен</w:t>
      </w:r>
      <w:r w:rsidR="002A5A3A">
        <w:rPr>
          <w:sz w:val="28"/>
          <w:szCs w:val="28"/>
        </w:rPr>
        <w:t>.</w:t>
      </w:r>
    </w:p>
    <w:p w:rsidR="00B17745" w:rsidRDefault="0048712A" w:rsidP="00B17745">
      <w:pPr>
        <w:ind w:left="14" w:right="28" w:firstLine="709"/>
        <w:jc w:val="both"/>
        <w:rPr>
          <w:sz w:val="28"/>
          <w:szCs w:val="28"/>
        </w:rPr>
      </w:pPr>
      <w:r w:rsidRPr="0048712A">
        <w:rPr>
          <w:sz w:val="28"/>
          <w:szCs w:val="28"/>
        </w:rPr>
        <w:t xml:space="preserve">Минэкономразвития прогнозирует </w:t>
      </w:r>
      <w:r w:rsidR="00B17745">
        <w:rPr>
          <w:sz w:val="28"/>
          <w:szCs w:val="28"/>
        </w:rPr>
        <w:t>и</w:t>
      </w:r>
      <w:r w:rsidR="00B17745" w:rsidRPr="00B17745">
        <w:rPr>
          <w:sz w:val="28"/>
          <w:szCs w:val="28"/>
        </w:rPr>
        <w:t>нфляци</w:t>
      </w:r>
      <w:r w:rsidR="00B17745">
        <w:rPr>
          <w:sz w:val="28"/>
          <w:szCs w:val="28"/>
        </w:rPr>
        <w:t>ю</w:t>
      </w:r>
      <w:r w:rsidR="00B17745" w:rsidRPr="00B17745">
        <w:rPr>
          <w:sz w:val="28"/>
          <w:szCs w:val="28"/>
        </w:rPr>
        <w:t xml:space="preserve"> в</w:t>
      </w:r>
      <w:r w:rsidR="00B17745">
        <w:rPr>
          <w:sz w:val="28"/>
          <w:szCs w:val="28"/>
        </w:rPr>
        <w:t xml:space="preserve"> конце 2023 года </w:t>
      </w:r>
      <w:r w:rsidR="007C27AC">
        <w:rPr>
          <w:sz w:val="28"/>
          <w:szCs w:val="28"/>
        </w:rPr>
        <w:t>в размере</w:t>
      </w:r>
      <w:r w:rsidR="00B17745">
        <w:rPr>
          <w:sz w:val="28"/>
          <w:szCs w:val="28"/>
        </w:rPr>
        <w:t xml:space="preserve"> 5,3</w:t>
      </w:r>
      <w:r w:rsidR="00247F53">
        <w:rPr>
          <w:sz w:val="28"/>
          <w:szCs w:val="28"/>
        </w:rPr>
        <w:t xml:space="preserve"> процента </w:t>
      </w:r>
      <w:r w:rsidR="00B17745" w:rsidRPr="00B17745">
        <w:rPr>
          <w:sz w:val="28"/>
          <w:szCs w:val="28"/>
        </w:rPr>
        <w:t>к декабрю 2022 года. В 2023 году ожидается увеличение номинальных заработных плат на уровне 10,9</w:t>
      </w:r>
      <w:r w:rsidR="00247F53">
        <w:rPr>
          <w:sz w:val="28"/>
          <w:szCs w:val="28"/>
        </w:rPr>
        <w:t xml:space="preserve"> процента,</w:t>
      </w:r>
      <w:r w:rsidR="00B17745" w:rsidRPr="00B17745">
        <w:rPr>
          <w:sz w:val="28"/>
          <w:szCs w:val="28"/>
        </w:rPr>
        <w:t xml:space="preserve"> что при низкой инфляции обеспечит реальный рост на 5,4</w:t>
      </w:r>
      <w:r w:rsidR="00247F53">
        <w:rPr>
          <w:sz w:val="28"/>
          <w:szCs w:val="28"/>
        </w:rPr>
        <w:t xml:space="preserve"> процента</w:t>
      </w:r>
      <w:r w:rsidR="00B17745" w:rsidRPr="00B17745">
        <w:rPr>
          <w:sz w:val="28"/>
          <w:szCs w:val="28"/>
        </w:rPr>
        <w:t>. Рост реальных располагаемых доходов населения оценивается на уровне 3,4</w:t>
      </w:r>
      <w:r w:rsidR="00247F53">
        <w:rPr>
          <w:sz w:val="28"/>
          <w:szCs w:val="28"/>
        </w:rPr>
        <w:t xml:space="preserve"> процента</w:t>
      </w:r>
      <w:r w:rsidR="00B17745" w:rsidRPr="00B17745">
        <w:rPr>
          <w:sz w:val="28"/>
          <w:szCs w:val="28"/>
        </w:rPr>
        <w:t>, в том числе за счет социальных выплат населению, предпринимательских доходов, прочих доходов. До конца текущего года ожидается сохранение стабильной ситуации на рынке труда (уровень безработицы составит 3,5</w:t>
      </w:r>
      <w:r w:rsidR="00247F53">
        <w:rPr>
          <w:sz w:val="28"/>
          <w:szCs w:val="28"/>
        </w:rPr>
        <w:t xml:space="preserve"> процента</w:t>
      </w:r>
      <w:r w:rsidR="00B17745" w:rsidRPr="00B17745">
        <w:rPr>
          <w:sz w:val="28"/>
          <w:szCs w:val="28"/>
        </w:rPr>
        <w:t xml:space="preserve"> рабочей силы). </w:t>
      </w:r>
    </w:p>
    <w:p w:rsidR="00B17745" w:rsidRDefault="00B17745" w:rsidP="00B17745">
      <w:pPr>
        <w:ind w:left="14" w:right="28" w:firstLine="709"/>
        <w:jc w:val="both"/>
        <w:rPr>
          <w:sz w:val="28"/>
          <w:szCs w:val="28"/>
        </w:rPr>
      </w:pPr>
      <w:r w:rsidRPr="00B17745">
        <w:rPr>
          <w:sz w:val="28"/>
          <w:szCs w:val="28"/>
        </w:rPr>
        <w:t>Постепенному восстановлению потребительского спроса будет способствовать рост денежных доходов населения и снижение нормы сбережений (с 8,4 в 2022 году до 7,0 в 2023 году). В результате в 2023 году ожидается рост оборота розничной торговли на 5,3</w:t>
      </w:r>
      <w:r w:rsidR="00247F53">
        <w:rPr>
          <w:sz w:val="28"/>
          <w:szCs w:val="28"/>
        </w:rPr>
        <w:t xml:space="preserve"> процента</w:t>
      </w:r>
      <w:r w:rsidRPr="00B17745">
        <w:rPr>
          <w:sz w:val="28"/>
          <w:szCs w:val="28"/>
        </w:rPr>
        <w:t>, объема</w:t>
      </w:r>
      <w:r w:rsidR="00C020D6">
        <w:rPr>
          <w:sz w:val="28"/>
          <w:szCs w:val="28"/>
        </w:rPr>
        <w:t xml:space="preserve"> платных услуг населению на 3,5</w:t>
      </w:r>
      <w:r w:rsidR="00247F53">
        <w:rPr>
          <w:sz w:val="28"/>
          <w:szCs w:val="28"/>
        </w:rPr>
        <w:t xml:space="preserve"> процента</w:t>
      </w:r>
      <w:r w:rsidRPr="00B17745">
        <w:rPr>
          <w:sz w:val="28"/>
          <w:szCs w:val="28"/>
        </w:rPr>
        <w:t>. Прирост инвестиций в основной капитал в 2023 году составит 0,5</w:t>
      </w:r>
      <w:r w:rsidR="00247F53">
        <w:rPr>
          <w:sz w:val="28"/>
          <w:szCs w:val="28"/>
        </w:rPr>
        <w:t xml:space="preserve"> процента</w:t>
      </w:r>
      <w:r w:rsidRPr="00B17745">
        <w:rPr>
          <w:sz w:val="28"/>
          <w:szCs w:val="28"/>
        </w:rPr>
        <w:t xml:space="preserve"> относительно высокой базы 2022 года, когда инвестиции увеличились на 4,6</w:t>
      </w:r>
      <w:r w:rsidR="00247F53">
        <w:rPr>
          <w:sz w:val="28"/>
          <w:szCs w:val="28"/>
        </w:rPr>
        <w:t xml:space="preserve"> процента</w:t>
      </w:r>
      <w:r w:rsidRPr="00B17745">
        <w:rPr>
          <w:sz w:val="28"/>
          <w:szCs w:val="28"/>
        </w:rPr>
        <w:t xml:space="preserve"> во многом за счет расходов федерального бюджета на крупные инфраструктурные проекты. В 2023 году ожидается постепенное восстановление инвестиционной активности в обрабатывающих отраслях, в том числе за счёт восстановления инвестиционного импорта в результате преодоления внешнего санкционного давления, реализации программ по импортозамещению и переориентации импортных поставок на дружественные и нейтральные страны. </w:t>
      </w:r>
    </w:p>
    <w:p w:rsidR="003E2B3A" w:rsidRPr="00B17745" w:rsidRDefault="00CA7EA9" w:rsidP="00B17745">
      <w:pPr>
        <w:ind w:left="14"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17745" w:rsidRPr="00B17745">
        <w:rPr>
          <w:sz w:val="28"/>
          <w:szCs w:val="28"/>
        </w:rPr>
        <w:t>ост инвестиций ожидается за счет увеличения инвестиционной активности частного бизнеса, в том числе благодаря реализуемым Правительством Российской Федерации мерам поддержки, направленным на покрытие воз</w:t>
      </w:r>
      <w:r w:rsidR="00210548">
        <w:rPr>
          <w:sz w:val="28"/>
          <w:szCs w:val="28"/>
        </w:rPr>
        <w:t>можных рисков предпринимателей.</w:t>
      </w:r>
    </w:p>
    <w:p w:rsidR="004B0585" w:rsidRDefault="004B0585" w:rsidP="000458F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B0585" w:rsidRDefault="004B0585" w:rsidP="000458F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B0585" w:rsidRDefault="004B0585" w:rsidP="000458F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E477B9" w:rsidRDefault="00E477B9" w:rsidP="00D96A2D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B17745" w:rsidRDefault="00B17745" w:rsidP="00D96A2D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111A97" w:rsidRDefault="00111A97" w:rsidP="00D96A2D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111A97" w:rsidRDefault="00111A97" w:rsidP="00D96A2D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111A97" w:rsidRDefault="00111A97" w:rsidP="00D96A2D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574F83" w:rsidRDefault="00574F83" w:rsidP="00D96A2D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D66597" w:rsidRDefault="00D66597" w:rsidP="00D96A2D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7C3E13" w:rsidRDefault="007C3E13" w:rsidP="00D96A2D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7C3E13" w:rsidRDefault="007C3E13" w:rsidP="00D96A2D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3E2B3A" w:rsidRDefault="003E2B3A" w:rsidP="000458F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D14C1C" w:rsidRDefault="00D14C1C" w:rsidP="000458F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D14C1C" w:rsidRDefault="00D14C1C" w:rsidP="000458F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C5179A" w:rsidRDefault="00C5179A" w:rsidP="000458F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58F7" w:rsidRPr="001D55CD" w:rsidRDefault="000023C0" w:rsidP="000023C0">
      <w:pPr>
        <w:autoSpaceDE w:val="0"/>
        <w:autoSpaceDN w:val="0"/>
        <w:adjustRightInd w:val="0"/>
        <w:ind w:right="-427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</w:t>
      </w:r>
      <w:r w:rsidR="000458F7" w:rsidRPr="001D55CD">
        <w:rPr>
          <w:sz w:val="20"/>
          <w:szCs w:val="20"/>
        </w:rPr>
        <w:t>Приложение</w:t>
      </w:r>
    </w:p>
    <w:p w:rsidR="000458F7" w:rsidRPr="001D55CD" w:rsidRDefault="000458F7" w:rsidP="000023C0">
      <w:pPr>
        <w:autoSpaceDE w:val="0"/>
        <w:autoSpaceDN w:val="0"/>
        <w:adjustRightInd w:val="0"/>
        <w:ind w:right="-427"/>
        <w:jc w:val="right"/>
        <w:rPr>
          <w:sz w:val="20"/>
          <w:szCs w:val="20"/>
        </w:rPr>
      </w:pPr>
      <w:r w:rsidRPr="001D55CD">
        <w:rPr>
          <w:sz w:val="20"/>
          <w:szCs w:val="20"/>
        </w:rPr>
        <w:t>к Прогнозу социально-экономического</w:t>
      </w:r>
    </w:p>
    <w:p w:rsidR="000458F7" w:rsidRPr="001D55CD" w:rsidRDefault="000458F7" w:rsidP="000023C0">
      <w:pPr>
        <w:pStyle w:val="ConsPlusTitle"/>
        <w:widowControl/>
        <w:ind w:right="-427"/>
        <w:jc w:val="right"/>
        <w:rPr>
          <w:rFonts w:ascii="Times New Roman" w:hAnsi="Times New Roman" w:cs="Times New Roman"/>
          <w:b w:val="0"/>
        </w:rPr>
      </w:pPr>
      <w:r w:rsidRPr="001D55CD">
        <w:rPr>
          <w:rFonts w:ascii="Times New Roman" w:hAnsi="Times New Roman" w:cs="Times New Roman"/>
          <w:b w:val="0"/>
        </w:rPr>
        <w:t xml:space="preserve">развития Исилькульского муниципального </w:t>
      </w:r>
    </w:p>
    <w:p w:rsidR="000458F7" w:rsidRPr="001D55CD" w:rsidRDefault="000458F7" w:rsidP="000023C0">
      <w:pPr>
        <w:pStyle w:val="ConsPlusTitle"/>
        <w:widowControl/>
        <w:ind w:right="-425"/>
        <w:jc w:val="right"/>
        <w:rPr>
          <w:rFonts w:ascii="Times New Roman" w:hAnsi="Times New Roman" w:cs="Times New Roman"/>
          <w:b w:val="0"/>
        </w:rPr>
      </w:pPr>
      <w:r w:rsidRPr="001D55CD">
        <w:rPr>
          <w:rFonts w:ascii="Times New Roman" w:hAnsi="Times New Roman" w:cs="Times New Roman"/>
          <w:b w:val="0"/>
        </w:rPr>
        <w:t>района Омской области на 20</w:t>
      </w:r>
      <w:r w:rsidR="00AA5147">
        <w:rPr>
          <w:rFonts w:ascii="Times New Roman" w:hAnsi="Times New Roman" w:cs="Times New Roman"/>
          <w:b w:val="0"/>
        </w:rPr>
        <w:t>2</w:t>
      </w:r>
      <w:r w:rsidR="002210AE">
        <w:rPr>
          <w:rFonts w:ascii="Times New Roman" w:hAnsi="Times New Roman" w:cs="Times New Roman"/>
          <w:b w:val="0"/>
        </w:rPr>
        <w:t>4</w:t>
      </w:r>
      <w:r w:rsidR="00AA5147">
        <w:rPr>
          <w:rFonts w:ascii="Times New Roman" w:hAnsi="Times New Roman" w:cs="Times New Roman"/>
          <w:b w:val="0"/>
        </w:rPr>
        <w:t xml:space="preserve"> </w:t>
      </w:r>
      <w:r w:rsidRPr="001D55CD">
        <w:rPr>
          <w:rFonts w:ascii="Times New Roman" w:hAnsi="Times New Roman" w:cs="Times New Roman"/>
          <w:b w:val="0"/>
        </w:rPr>
        <w:t xml:space="preserve">год </w:t>
      </w:r>
    </w:p>
    <w:p w:rsidR="000458F7" w:rsidRPr="001D55CD" w:rsidRDefault="000023C0" w:rsidP="000023C0">
      <w:pPr>
        <w:pStyle w:val="ConsPlusTitle"/>
        <w:widowControl/>
        <w:ind w:right="-425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0458F7" w:rsidRPr="001D55CD">
        <w:rPr>
          <w:rFonts w:ascii="Times New Roman" w:hAnsi="Times New Roman" w:cs="Times New Roman"/>
          <w:b w:val="0"/>
        </w:rPr>
        <w:t>и на период до 202</w:t>
      </w:r>
      <w:r w:rsidR="002210AE">
        <w:rPr>
          <w:rFonts w:ascii="Times New Roman" w:hAnsi="Times New Roman" w:cs="Times New Roman"/>
          <w:b w:val="0"/>
        </w:rPr>
        <w:t>6</w:t>
      </w:r>
      <w:r w:rsidR="000458F7" w:rsidRPr="001D55CD">
        <w:rPr>
          <w:rFonts w:ascii="Times New Roman" w:hAnsi="Times New Roman" w:cs="Times New Roman"/>
          <w:b w:val="0"/>
        </w:rPr>
        <w:t xml:space="preserve"> года</w:t>
      </w:r>
    </w:p>
    <w:p w:rsidR="000458F7" w:rsidRPr="001D55CD" w:rsidRDefault="000458F7" w:rsidP="000458F7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023C0" w:rsidRDefault="000023C0" w:rsidP="000458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0458F7" w:rsidRPr="001D55CD" w:rsidRDefault="000458F7" w:rsidP="000458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D55CD">
        <w:rPr>
          <w:rFonts w:ascii="Times New Roman" w:hAnsi="Times New Roman" w:cs="Times New Roman"/>
          <w:b w:val="0"/>
          <w:sz w:val="22"/>
          <w:szCs w:val="22"/>
        </w:rPr>
        <w:t>ПОКАЗАТЕЛИ</w:t>
      </w:r>
    </w:p>
    <w:p w:rsidR="000458F7" w:rsidRPr="001D55CD" w:rsidRDefault="000458F7" w:rsidP="000458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D55CD">
        <w:rPr>
          <w:rFonts w:ascii="Times New Roman" w:hAnsi="Times New Roman" w:cs="Times New Roman"/>
          <w:b w:val="0"/>
          <w:sz w:val="22"/>
          <w:szCs w:val="22"/>
        </w:rPr>
        <w:t>прогноза социально-экономического развития Исилькульского муниципального</w:t>
      </w:r>
    </w:p>
    <w:p w:rsidR="000458F7" w:rsidRPr="001D55CD" w:rsidRDefault="000458F7" w:rsidP="000458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D55CD">
        <w:rPr>
          <w:rFonts w:ascii="Times New Roman" w:hAnsi="Times New Roman" w:cs="Times New Roman"/>
          <w:b w:val="0"/>
          <w:sz w:val="22"/>
          <w:szCs w:val="22"/>
        </w:rPr>
        <w:t>района Омской области на 20</w:t>
      </w:r>
      <w:r w:rsidR="00AA5147">
        <w:rPr>
          <w:rFonts w:ascii="Times New Roman" w:hAnsi="Times New Roman" w:cs="Times New Roman"/>
          <w:b w:val="0"/>
          <w:sz w:val="22"/>
          <w:szCs w:val="22"/>
        </w:rPr>
        <w:t>2</w:t>
      </w:r>
      <w:r w:rsidR="002210AE">
        <w:rPr>
          <w:rFonts w:ascii="Times New Roman" w:hAnsi="Times New Roman" w:cs="Times New Roman"/>
          <w:b w:val="0"/>
          <w:sz w:val="22"/>
          <w:szCs w:val="22"/>
        </w:rPr>
        <w:t>4</w:t>
      </w:r>
      <w:r w:rsidRPr="001D55CD">
        <w:rPr>
          <w:rFonts w:ascii="Times New Roman" w:hAnsi="Times New Roman" w:cs="Times New Roman"/>
          <w:b w:val="0"/>
          <w:sz w:val="22"/>
          <w:szCs w:val="22"/>
        </w:rPr>
        <w:t xml:space="preserve"> год</w:t>
      </w:r>
    </w:p>
    <w:p w:rsidR="000458F7" w:rsidRPr="001D55CD" w:rsidRDefault="000458F7" w:rsidP="000458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D55CD">
        <w:rPr>
          <w:rFonts w:ascii="Times New Roman" w:hAnsi="Times New Roman" w:cs="Times New Roman"/>
          <w:b w:val="0"/>
          <w:sz w:val="22"/>
          <w:szCs w:val="22"/>
        </w:rPr>
        <w:t>и на период до 202</w:t>
      </w:r>
      <w:r w:rsidR="002210AE">
        <w:rPr>
          <w:rFonts w:ascii="Times New Roman" w:hAnsi="Times New Roman" w:cs="Times New Roman"/>
          <w:b w:val="0"/>
          <w:sz w:val="22"/>
          <w:szCs w:val="22"/>
        </w:rPr>
        <w:t>6</w:t>
      </w:r>
      <w:r w:rsidRPr="001D55CD">
        <w:rPr>
          <w:rFonts w:ascii="Times New Roman" w:hAnsi="Times New Roman" w:cs="Times New Roman"/>
          <w:b w:val="0"/>
          <w:sz w:val="22"/>
          <w:szCs w:val="22"/>
        </w:rPr>
        <w:t xml:space="preserve"> года</w:t>
      </w:r>
    </w:p>
    <w:p w:rsidR="000458F7" w:rsidRPr="001D55CD" w:rsidRDefault="000458F7" w:rsidP="000458F7">
      <w:pPr>
        <w:pStyle w:val="ConsPlusTitle"/>
        <w:widowControl/>
        <w:jc w:val="center"/>
        <w:rPr>
          <w:b w:val="0"/>
        </w:rPr>
      </w:pPr>
    </w:p>
    <w:tbl>
      <w:tblPr>
        <w:tblW w:w="5924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2129"/>
        <w:gridCol w:w="1276"/>
        <w:gridCol w:w="983"/>
        <w:gridCol w:w="992"/>
        <w:gridCol w:w="993"/>
        <w:gridCol w:w="992"/>
        <w:gridCol w:w="995"/>
        <w:gridCol w:w="995"/>
        <w:gridCol w:w="995"/>
        <w:gridCol w:w="991"/>
      </w:tblGrid>
      <w:tr w:rsidR="000458F7" w:rsidRPr="001D55CD" w:rsidTr="00574F83">
        <w:trPr>
          <w:trHeight w:val="20"/>
          <w:tblHeader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Cs/>
              </w:rPr>
            </w:pPr>
            <w:r w:rsidRPr="001D55CD">
              <w:rPr>
                <w:bCs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027" w:rsidRPr="00A557C3" w:rsidRDefault="00CE2027" w:rsidP="003630D9">
            <w:pPr>
              <w:spacing w:line="240" w:lineRule="exact"/>
              <w:jc w:val="center"/>
              <w:rPr>
                <w:bCs/>
                <w:sz w:val="23"/>
                <w:szCs w:val="23"/>
              </w:rPr>
            </w:pPr>
            <w:r w:rsidRPr="00A557C3">
              <w:rPr>
                <w:bCs/>
                <w:sz w:val="23"/>
                <w:szCs w:val="23"/>
              </w:rPr>
              <w:t>Единица</w:t>
            </w:r>
          </w:p>
          <w:p w:rsidR="000458F7" w:rsidRPr="001D55CD" w:rsidRDefault="000458F7" w:rsidP="003630D9">
            <w:pPr>
              <w:spacing w:line="240" w:lineRule="exact"/>
              <w:jc w:val="center"/>
              <w:rPr>
                <w:bCs/>
              </w:rPr>
            </w:pPr>
            <w:r w:rsidRPr="00A557C3">
              <w:rPr>
                <w:bCs/>
                <w:sz w:val="23"/>
                <w:szCs w:val="23"/>
              </w:rPr>
              <w:t>измерения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8F7" w:rsidRPr="001D55CD" w:rsidRDefault="000458F7" w:rsidP="002210AE">
            <w:pPr>
              <w:spacing w:line="240" w:lineRule="exact"/>
              <w:jc w:val="center"/>
              <w:rPr>
                <w:b/>
                <w:bCs/>
              </w:rPr>
            </w:pPr>
            <w:r w:rsidRPr="001D55CD">
              <w:rPr>
                <w:b/>
                <w:bCs/>
              </w:rPr>
              <w:t>20</w:t>
            </w:r>
            <w:r w:rsidR="00A557C3">
              <w:rPr>
                <w:b/>
                <w:bCs/>
              </w:rPr>
              <w:t>2</w:t>
            </w:r>
            <w:r w:rsidR="002210AE">
              <w:rPr>
                <w:b/>
                <w:bCs/>
              </w:rPr>
              <w:t>2</w:t>
            </w:r>
            <w:r w:rsidRPr="001D55CD">
              <w:rPr>
                <w:b/>
                <w:bCs/>
              </w:rPr>
              <w:t xml:space="preserve"> год </w:t>
            </w:r>
            <w:r w:rsidR="00506E8F">
              <w:rPr>
                <w:bCs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8F7" w:rsidRPr="001D55CD" w:rsidRDefault="000458F7" w:rsidP="002210AE">
            <w:pPr>
              <w:spacing w:line="240" w:lineRule="exact"/>
              <w:jc w:val="center"/>
              <w:rPr>
                <w:b/>
                <w:bCs/>
              </w:rPr>
            </w:pPr>
            <w:r w:rsidRPr="001D55CD">
              <w:rPr>
                <w:b/>
                <w:bCs/>
              </w:rPr>
              <w:t>20</w:t>
            </w:r>
            <w:r w:rsidR="00BD7D8E">
              <w:rPr>
                <w:b/>
                <w:bCs/>
              </w:rPr>
              <w:t>2</w:t>
            </w:r>
            <w:r w:rsidR="002210AE">
              <w:rPr>
                <w:b/>
                <w:bCs/>
              </w:rPr>
              <w:t>3</w:t>
            </w:r>
            <w:r w:rsidR="00A557C3">
              <w:rPr>
                <w:b/>
                <w:bCs/>
              </w:rPr>
              <w:t xml:space="preserve"> </w:t>
            </w:r>
            <w:r w:rsidRPr="001D55CD">
              <w:rPr>
                <w:b/>
                <w:bCs/>
              </w:rPr>
              <w:t xml:space="preserve">год </w:t>
            </w:r>
            <w:r w:rsidR="00CE2027" w:rsidRPr="001D55CD">
              <w:rPr>
                <w:bCs/>
              </w:rPr>
              <w:t>оцен</w:t>
            </w:r>
            <w:r w:rsidRPr="001D55CD">
              <w:rPr>
                <w:bCs/>
              </w:rPr>
              <w:t>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Cs/>
              </w:rPr>
            </w:pPr>
            <w:r w:rsidRPr="001D55CD">
              <w:rPr>
                <w:b/>
                <w:bCs/>
              </w:rPr>
              <w:t>20</w:t>
            </w:r>
            <w:r w:rsidR="00AA5147">
              <w:rPr>
                <w:b/>
                <w:bCs/>
              </w:rPr>
              <w:t>2</w:t>
            </w:r>
            <w:r w:rsidR="002210AE">
              <w:rPr>
                <w:b/>
                <w:bCs/>
              </w:rPr>
              <w:t>4</w:t>
            </w:r>
            <w:r w:rsidRPr="001D55CD">
              <w:rPr>
                <w:b/>
                <w:bCs/>
              </w:rPr>
              <w:t xml:space="preserve"> год</w:t>
            </w:r>
            <w:r w:rsidRPr="001D55CD">
              <w:rPr>
                <w:bCs/>
              </w:rPr>
              <w:t xml:space="preserve"> </w:t>
            </w:r>
          </w:p>
          <w:p w:rsidR="000458F7" w:rsidRPr="001D55CD" w:rsidRDefault="000458F7" w:rsidP="003630D9">
            <w:pPr>
              <w:spacing w:line="240" w:lineRule="exact"/>
              <w:jc w:val="center"/>
              <w:rPr>
                <w:bCs/>
              </w:rPr>
            </w:pPr>
            <w:r w:rsidRPr="001D55CD">
              <w:rPr>
                <w:bCs/>
              </w:rPr>
              <w:t>прогноз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/>
                <w:bCs/>
              </w:rPr>
            </w:pPr>
            <w:r w:rsidRPr="001D55CD">
              <w:rPr>
                <w:b/>
                <w:bCs/>
              </w:rPr>
              <w:t>20</w:t>
            </w:r>
            <w:r w:rsidR="00AA5147">
              <w:rPr>
                <w:b/>
                <w:bCs/>
              </w:rPr>
              <w:t>2</w:t>
            </w:r>
            <w:r w:rsidR="002210AE">
              <w:rPr>
                <w:b/>
                <w:bCs/>
              </w:rPr>
              <w:t>5</w:t>
            </w:r>
            <w:r w:rsidRPr="001D55CD">
              <w:rPr>
                <w:b/>
                <w:bCs/>
              </w:rPr>
              <w:t xml:space="preserve"> год </w:t>
            </w:r>
          </w:p>
          <w:p w:rsidR="000458F7" w:rsidRPr="001D55CD" w:rsidRDefault="000458F7" w:rsidP="003630D9">
            <w:pPr>
              <w:spacing w:line="240" w:lineRule="exact"/>
              <w:jc w:val="center"/>
              <w:rPr>
                <w:bCs/>
              </w:rPr>
            </w:pPr>
            <w:r w:rsidRPr="001D55CD">
              <w:rPr>
                <w:bCs/>
              </w:rPr>
              <w:t>прогноз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/>
                <w:bCs/>
              </w:rPr>
            </w:pPr>
            <w:r w:rsidRPr="001D55CD">
              <w:rPr>
                <w:b/>
                <w:bCs/>
              </w:rPr>
              <w:t>202</w:t>
            </w:r>
            <w:r w:rsidR="002210AE">
              <w:rPr>
                <w:b/>
                <w:bCs/>
              </w:rPr>
              <w:t>6</w:t>
            </w:r>
            <w:r w:rsidRPr="001D55CD">
              <w:rPr>
                <w:b/>
                <w:bCs/>
              </w:rPr>
              <w:t xml:space="preserve"> год </w:t>
            </w:r>
          </w:p>
          <w:p w:rsidR="000458F7" w:rsidRPr="001D55CD" w:rsidRDefault="000458F7" w:rsidP="003630D9">
            <w:pPr>
              <w:spacing w:line="240" w:lineRule="exact"/>
              <w:jc w:val="center"/>
              <w:rPr>
                <w:b/>
                <w:bCs/>
              </w:rPr>
            </w:pPr>
            <w:r w:rsidRPr="001D55CD">
              <w:rPr>
                <w:bCs/>
              </w:rPr>
              <w:t>прогноз</w:t>
            </w:r>
          </w:p>
        </w:tc>
      </w:tr>
      <w:tr w:rsidR="000458F7" w:rsidRPr="001D55CD" w:rsidTr="00574F83">
        <w:trPr>
          <w:trHeight w:val="533"/>
          <w:tblHeader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8F7" w:rsidRPr="001D55CD" w:rsidRDefault="000458F7" w:rsidP="003630D9">
            <w:pPr>
              <w:spacing w:line="240" w:lineRule="exact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8F7" w:rsidRPr="001D55CD" w:rsidRDefault="000458F7" w:rsidP="003630D9">
            <w:pPr>
              <w:spacing w:line="240" w:lineRule="exact"/>
              <w:rPr>
                <w:bCs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Cs/>
              </w:rPr>
            </w:pPr>
            <w:r w:rsidRPr="001D55CD">
              <w:rPr>
                <w:bCs/>
              </w:rPr>
              <w:t>1 вари-ант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Cs/>
              </w:rPr>
            </w:pPr>
            <w:r w:rsidRPr="001D55CD">
              <w:rPr>
                <w:bCs/>
              </w:rPr>
              <w:t>2 вари-ант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Cs/>
              </w:rPr>
            </w:pPr>
            <w:r w:rsidRPr="001D55CD">
              <w:rPr>
                <w:bCs/>
              </w:rPr>
              <w:t>1 вари-ант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/>
                <w:bCs/>
              </w:rPr>
            </w:pPr>
            <w:r w:rsidRPr="001D55CD">
              <w:rPr>
                <w:bCs/>
              </w:rPr>
              <w:t>2 вари-ант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Cs/>
              </w:rPr>
            </w:pPr>
            <w:r w:rsidRPr="001D55CD">
              <w:rPr>
                <w:bCs/>
              </w:rPr>
              <w:t>1 вари-ант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F7" w:rsidRPr="001D55CD" w:rsidRDefault="000458F7" w:rsidP="003630D9">
            <w:pPr>
              <w:spacing w:line="240" w:lineRule="exact"/>
              <w:jc w:val="center"/>
              <w:rPr>
                <w:b/>
                <w:bCs/>
              </w:rPr>
            </w:pPr>
            <w:r w:rsidRPr="001D55CD">
              <w:rPr>
                <w:bCs/>
              </w:rPr>
              <w:t>2 вари-ант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8E" w:rsidRPr="001D55CD" w:rsidRDefault="00BD7D8E" w:rsidP="00BD7D8E">
            <w:pPr>
              <w:spacing w:line="240" w:lineRule="exact"/>
              <w:ind w:right="-57"/>
            </w:pPr>
            <w:r w:rsidRPr="001D55CD">
              <w:rPr>
                <w:b/>
              </w:rPr>
              <w:t>Численность населения</w:t>
            </w:r>
            <w:r w:rsidRPr="001D55CD">
              <w:t xml:space="preserve"> (среднегодовая)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3462F">
              <w:rPr>
                <w:sz w:val="22"/>
                <w:szCs w:val="22"/>
              </w:rPr>
              <w:t>человек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2210AE" w:rsidP="00837BB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D038E">
              <w:rPr>
                <w:sz w:val="18"/>
                <w:szCs w:val="18"/>
              </w:rPr>
              <w:t>36078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37B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37B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37B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35320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37B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34520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37B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E30BA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37BB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</w:t>
            </w:r>
          </w:p>
        </w:tc>
      </w:tr>
      <w:tr w:rsidR="000458F7" w:rsidRPr="001D55CD" w:rsidTr="00574F83">
        <w:trPr>
          <w:trHeight w:val="20"/>
        </w:trPr>
        <w:tc>
          <w:tcPr>
            <w:tcW w:w="113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147" w:rsidRDefault="00AA5147" w:rsidP="000023C0">
            <w:pPr>
              <w:spacing w:line="240" w:lineRule="exact"/>
              <w:ind w:left="34"/>
              <w:rPr>
                <w:b/>
                <w:bCs/>
                <w:i/>
              </w:rPr>
            </w:pPr>
          </w:p>
          <w:p w:rsidR="000458F7" w:rsidRPr="001D55CD" w:rsidRDefault="000458F7" w:rsidP="000023C0">
            <w:pPr>
              <w:spacing w:line="240" w:lineRule="exact"/>
              <w:ind w:left="34"/>
            </w:pPr>
            <w:r w:rsidRPr="001D55CD">
              <w:rPr>
                <w:b/>
                <w:bCs/>
                <w:i/>
              </w:rPr>
              <w:t>Обрабатывающие производства</w:t>
            </w:r>
          </w:p>
        </w:tc>
      </w:tr>
      <w:tr w:rsidR="00BD7D8E" w:rsidRPr="001D55CD" w:rsidTr="00AE1698">
        <w:trPr>
          <w:trHeight w:val="51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jc w:val="both"/>
              <w:rPr>
                <w:b/>
              </w:rPr>
            </w:pPr>
            <w:r w:rsidRPr="001D55CD">
              <w:rPr>
                <w:b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тыс. руб.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F8026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F8026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F8026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95770,2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F1E8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95962,6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96153,3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97114,7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97884,8</w:t>
            </w:r>
          </w:p>
        </w:tc>
      </w:tr>
      <w:tr w:rsidR="00BD7D8E" w:rsidRPr="001D55CD" w:rsidTr="00AE1698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ind w:right="-57"/>
              <w:rPr>
                <w:i/>
              </w:rPr>
            </w:pPr>
            <w:r w:rsidRPr="001D55CD">
              <w:rPr>
                <w:i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101,8</w:t>
            </w:r>
          </w:p>
        </w:tc>
      </w:tr>
      <w:tr w:rsidR="000458F7" w:rsidRPr="001D55CD" w:rsidTr="00574F83">
        <w:trPr>
          <w:trHeight w:val="20"/>
        </w:trPr>
        <w:tc>
          <w:tcPr>
            <w:tcW w:w="113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47" w:rsidRDefault="00AA5147" w:rsidP="003630D9">
            <w:pPr>
              <w:keepNext/>
              <w:spacing w:line="240" w:lineRule="exact"/>
              <w:rPr>
                <w:b/>
                <w:bCs/>
                <w:i/>
                <w:sz w:val="22"/>
                <w:szCs w:val="22"/>
              </w:rPr>
            </w:pPr>
          </w:p>
          <w:p w:rsidR="000458F7" w:rsidRPr="001D55CD" w:rsidRDefault="000458F7" w:rsidP="003630D9">
            <w:pPr>
              <w:keepNext/>
              <w:spacing w:line="240" w:lineRule="exact"/>
              <w:rPr>
                <w:sz w:val="22"/>
                <w:szCs w:val="22"/>
              </w:rPr>
            </w:pPr>
            <w:r w:rsidRPr="001D55CD">
              <w:rPr>
                <w:b/>
                <w:bCs/>
                <w:i/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keepNext/>
              <w:spacing w:line="240" w:lineRule="exact"/>
              <w:rPr>
                <w:b/>
              </w:rPr>
            </w:pPr>
            <w:r w:rsidRPr="001D55CD">
              <w:rPr>
                <w:b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keepNext/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тыс. руб.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BD7D8E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264450,4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F1E8F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F1E8F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264423,3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F1E8F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269765,8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F1E8F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268412,5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F1E8F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273812,3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F1E8F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269312,4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8F1E8F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276550,4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rPr>
                <w:i/>
              </w:rPr>
            </w:pPr>
            <w:r w:rsidRPr="001D55CD">
              <w:rPr>
                <w:i/>
              </w:rPr>
              <w:t xml:space="preserve">Индекс </w:t>
            </w:r>
            <w:r>
              <w:rPr>
                <w:i/>
              </w:rPr>
              <w:t>промышленного п</w:t>
            </w:r>
            <w:r w:rsidRPr="001D55CD">
              <w:rPr>
                <w:i/>
              </w:rPr>
              <w:t>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144A0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101,0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101,5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101,0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101,0</w:t>
            </w:r>
          </w:p>
        </w:tc>
      </w:tr>
      <w:tr w:rsidR="00BD7D8E" w:rsidRPr="007A354A" w:rsidTr="00574F83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rPr>
                <w:b/>
              </w:rPr>
            </w:pPr>
            <w:r w:rsidRPr="001D55CD">
              <w:rPr>
                <w:b/>
              </w:rPr>
              <w:t>Продукция сельского хозяйства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млн. руб.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E21DA5" w:rsidRDefault="00E21DA5" w:rsidP="0015260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21DA5">
              <w:rPr>
                <w:sz w:val="18"/>
                <w:szCs w:val="18"/>
              </w:rPr>
              <w:t>5107,1</w:t>
            </w:r>
            <w:r w:rsidR="00425927" w:rsidRPr="00E21DA5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E21DA5" w:rsidRDefault="00E21DA5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E21DA5">
              <w:rPr>
                <w:color w:val="000000"/>
                <w:sz w:val="18"/>
                <w:szCs w:val="18"/>
              </w:rPr>
              <w:t>5209,6*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E21DA5" w:rsidRDefault="00E21DA5" w:rsidP="0015260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21DA5">
              <w:rPr>
                <w:sz w:val="18"/>
                <w:szCs w:val="18"/>
              </w:rPr>
              <w:t>5286,9</w:t>
            </w:r>
            <w:r w:rsidR="00BD7D8E" w:rsidRPr="00E21DA5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E21DA5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21DA5">
              <w:rPr>
                <w:sz w:val="18"/>
                <w:szCs w:val="18"/>
              </w:rPr>
              <w:t>5313,4*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E21DA5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21DA5">
              <w:rPr>
                <w:sz w:val="18"/>
                <w:szCs w:val="18"/>
              </w:rPr>
              <w:t>5298,2</w:t>
            </w:r>
            <w:r w:rsidR="00BD7D8E" w:rsidRPr="00E21DA5">
              <w:rPr>
                <w:sz w:val="18"/>
                <w:szCs w:val="18"/>
              </w:rPr>
              <w:t>*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E21DA5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21DA5">
              <w:rPr>
                <w:sz w:val="18"/>
                <w:szCs w:val="18"/>
              </w:rPr>
              <w:t>5366,6*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E21DA5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21DA5">
              <w:rPr>
                <w:sz w:val="18"/>
                <w:szCs w:val="18"/>
              </w:rPr>
              <w:t>5349,2</w:t>
            </w:r>
            <w:r w:rsidR="00BD7D8E" w:rsidRPr="00E21DA5">
              <w:rPr>
                <w:sz w:val="18"/>
                <w:szCs w:val="18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E21DA5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21DA5">
              <w:rPr>
                <w:sz w:val="18"/>
                <w:szCs w:val="18"/>
              </w:rPr>
              <w:t>5420,2</w:t>
            </w:r>
            <w:r w:rsidR="00BD7D8E" w:rsidRPr="00E21DA5">
              <w:rPr>
                <w:sz w:val="18"/>
                <w:szCs w:val="18"/>
              </w:rPr>
              <w:t>*</w:t>
            </w:r>
          </w:p>
        </w:tc>
      </w:tr>
      <w:tr w:rsidR="00BD7D8E" w:rsidRPr="001D55CD" w:rsidTr="00574F83">
        <w:trPr>
          <w:trHeight w:val="133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ind w:left="-57" w:right="-57"/>
              <w:rPr>
                <w:b/>
              </w:rPr>
            </w:pPr>
          </w:p>
          <w:p w:rsidR="00BD7D8E" w:rsidRDefault="00BD7D8E" w:rsidP="00BD7D8E">
            <w:pPr>
              <w:spacing w:line="240" w:lineRule="exact"/>
              <w:ind w:left="-57" w:right="-57"/>
              <w:rPr>
                <w:i/>
              </w:rPr>
            </w:pPr>
          </w:p>
          <w:p w:rsidR="00BD7D8E" w:rsidRPr="001D55CD" w:rsidRDefault="00BD7D8E" w:rsidP="00BD7D8E">
            <w:pPr>
              <w:spacing w:line="240" w:lineRule="exact"/>
              <w:ind w:left="-57" w:right="-57"/>
              <w:rPr>
                <w:i/>
              </w:rPr>
            </w:pPr>
            <w:r w:rsidRPr="001D55CD">
              <w:rPr>
                <w:i/>
              </w:rPr>
              <w:t>Индекс-дефлятор</w:t>
            </w:r>
          </w:p>
          <w:p w:rsidR="00BD7D8E" w:rsidRPr="001D55CD" w:rsidRDefault="00BD7D8E" w:rsidP="00BD7D8E">
            <w:pPr>
              <w:spacing w:line="240" w:lineRule="exact"/>
              <w:ind w:left="-57" w:right="-57"/>
              <w:rPr>
                <w:b/>
              </w:rPr>
            </w:pPr>
          </w:p>
          <w:p w:rsidR="00BD7D8E" w:rsidRPr="001D55CD" w:rsidRDefault="00BD7D8E" w:rsidP="00BD7D8E">
            <w:pPr>
              <w:spacing w:line="240" w:lineRule="exact"/>
              <w:ind w:right="-57"/>
              <w:rPr>
                <w:b/>
              </w:rPr>
            </w:pPr>
          </w:p>
          <w:p w:rsidR="00BD7D8E" w:rsidRPr="001D55CD" w:rsidRDefault="00BD7D8E" w:rsidP="00BD7D8E">
            <w:pPr>
              <w:spacing w:line="240" w:lineRule="exact"/>
              <w:ind w:right="-57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% к предыдущему году</w:t>
            </w:r>
          </w:p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</w:p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</w:p>
          <w:p w:rsidR="00BD7D8E" w:rsidRPr="0013462F" w:rsidRDefault="00BD7D8E" w:rsidP="00BD7D8E">
            <w:pPr>
              <w:spacing w:line="240" w:lineRule="exact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5233A9" w:rsidRDefault="00E21DA5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144A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100,6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101,0</w:t>
            </w:r>
          </w:p>
        </w:tc>
      </w:tr>
      <w:tr w:rsidR="00F13E7C" w:rsidRPr="001D55CD" w:rsidTr="00574F83">
        <w:trPr>
          <w:trHeight w:val="225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7C" w:rsidRPr="001D55CD" w:rsidRDefault="00F13E7C" w:rsidP="00F13E7C">
            <w:pPr>
              <w:spacing w:line="240" w:lineRule="exact"/>
              <w:ind w:right="-57"/>
              <w:rPr>
                <w:b/>
              </w:rPr>
            </w:pPr>
            <w:r w:rsidRPr="001D55CD">
              <w:rPr>
                <w:b/>
              </w:rPr>
              <w:lastRenderedPageBreak/>
              <w:t>Объем инвестиций (в основной капитал) за счет всех источников финансирования по полному кругу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7C" w:rsidRPr="0013462F" w:rsidRDefault="00F13E7C" w:rsidP="00F13E7C">
            <w:pPr>
              <w:spacing w:line="240" w:lineRule="exact"/>
              <w:ind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тыс. руб.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7C" w:rsidRPr="002F16E3" w:rsidRDefault="00E21DA5" w:rsidP="006755C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974773</w:t>
            </w:r>
            <w:r w:rsidR="00A661C8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7C" w:rsidRPr="002F16E3" w:rsidRDefault="00EF7C8D" w:rsidP="00F13E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1199338,0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7C" w:rsidRPr="002F16E3" w:rsidRDefault="00EF7C8D" w:rsidP="00F13E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D3C6C">
              <w:rPr>
                <w:sz w:val="18"/>
                <w:szCs w:val="18"/>
              </w:rPr>
              <w:t>09085,0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7C" w:rsidRPr="002F16E3" w:rsidRDefault="00EF7C8D" w:rsidP="001D3C6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D3C6C">
              <w:rPr>
                <w:sz w:val="18"/>
                <w:szCs w:val="18"/>
              </w:rPr>
              <w:t>52620,0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C" w:rsidRPr="002F16E3" w:rsidRDefault="00EF7C8D" w:rsidP="00F13E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D3C6C">
              <w:rPr>
                <w:sz w:val="18"/>
                <w:szCs w:val="18"/>
              </w:rPr>
              <w:t>59890,0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7C" w:rsidRPr="002F16E3" w:rsidRDefault="00EF7C8D" w:rsidP="00F13E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74F8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9683</w:t>
            </w:r>
            <w:r w:rsidR="001D3C6C">
              <w:rPr>
                <w:sz w:val="18"/>
                <w:szCs w:val="18"/>
              </w:rPr>
              <w:t>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7C" w:rsidRPr="002F16E3" w:rsidRDefault="00574F83" w:rsidP="00EF7C8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7C8D">
              <w:rPr>
                <w:sz w:val="18"/>
                <w:szCs w:val="18"/>
              </w:rPr>
              <w:t>200304</w:t>
            </w:r>
            <w:r w:rsidR="001D3C6C">
              <w:rPr>
                <w:sz w:val="18"/>
                <w:szCs w:val="18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E7C" w:rsidRPr="002F16E3" w:rsidRDefault="00574F83" w:rsidP="00EF7C8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F7C8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21562</w:t>
            </w:r>
            <w:r w:rsidR="001D3C6C">
              <w:rPr>
                <w:sz w:val="18"/>
                <w:szCs w:val="18"/>
              </w:rPr>
              <w:t>,0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rPr>
                <w:i/>
              </w:rPr>
            </w:pPr>
            <w:r w:rsidRPr="001D55CD">
              <w:rPr>
                <w:i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8F1E8F" w:rsidP="00A103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1031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A1031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781ACB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97,0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100,2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6B1183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6B1183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Default="00BD7D8E" w:rsidP="00BD7D8E">
            <w:pPr>
              <w:keepNext/>
              <w:spacing w:line="240" w:lineRule="exact"/>
              <w:ind w:left="-57"/>
              <w:rPr>
                <w:b/>
                <w:color w:val="000000"/>
              </w:rPr>
            </w:pPr>
          </w:p>
          <w:p w:rsidR="00BD7D8E" w:rsidRPr="001D55CD" w:rsidRDefault="00BD7D8E" w:rsidP="00BD7D8E">
            <w:pPr>
              <w:keepNext/>
              <w:spacing w:line="240" w:lineRule="exact"/>
              <w:rPr>
                <w:b/>
                <w:color w:val="000000"/>
              </w:rPr>
            </w:pPr>
            <w:r w:rsidRPr="001D55CD">
              <w:rPr>
                <w:b/>
                <w:color w:val="000000"/>
              </w:rPr>
              <w:t>Ввод жилья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keepNext/>
              <w:spacing w:line="24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3462F">
              <w:rPr>
                <w:color w:val="000000"/>
                <w:sz w:val="20"/>
                <w:szCs w:val="20"/>
              </w:rPr>
              <w:t>тыс.кв. м.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keepNext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keepNext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keepNext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keepNext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keepNext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574F83">
            <w:pPr>
              <w:keepNext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</w:t>
            </w:r>
            <w:r w:rsidR="00574F8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keepNext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Default="00BD7D8E" w:rsidP="00BD7D8E">
            <w:pPr>
              <w:spacing w:line="240" w:lineRule="exact"/>
              <w:ind w:left="113"/>
              <w:rPr>
                <w:i/>
                <w:iCs/>
              </w:rPr>
            </w:pPr>
          </w:p>
          <w:p w:rsidR="00BD7D8E" w:rsidRPr="001D55CD" w:rsidRDefault="00BD7D8E" w:rsidP="00BD7D8E">
            <w:pPr>
              <w:spacing w:line="240" w:lineRule="exact"/>
              <w:ind w:left="113"/>
              <w:rPr>
                <w:i/>
                <w:iCs/>
              </w:rPr>
            </w:pPr>
            <w:r w:rsidRPr="001D55CD">
              <w:rPr>
                <w:i/>
                <w:iCs/>
              </w:rPr>
              <w:t>Темп роста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iCs/>
                <w:color w:val="000000"/>
                <w:sz w:val="20"/>
                <w:szCs w:val="20"/>
              </w:rPr>
            </w:pPr>
            <w:r w:rsidRPr="0013462F">
              <w:rPr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A1031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8F1E8F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8F1E8F" w:rsidP="008F1E8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8F1E8F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BD7D8E" w:rsidRPr="006144A0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8F1E8F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8F1E8F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  <w:r w:rsidR="00BD7D8E" w:rsidRPr="006144A0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8F1E8F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8F1E8F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rPr>
                <w:b/>
              </w:rPr>
            </w:pPr>
            <w:r w:rsidRPr="001D55CD">
              <w:rPr>
                <w:b/>
              </w:rPr>
              <w:t xml:space="preserve">Оборот розничной торговли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2186805,6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2252409,7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A1031E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2274933,8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2319982,1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2297683,1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2366381,7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2320660,2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2413709,4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rPr>
                <w:i/>
                <w:iCs/>
              </w:rPr>
            </w:pPr>
            <w:r w:rsidRPr="001D55CD">
              <w:rPr>
                <w:i/>
                <w:iCs/>
              </w:rPr>
              <w:t xml:space="preserve">Индекс-дефлятор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13462F">
              <w:rPr>
                <w:iCs/>
                <w:sz w:val="20"/>
                <w:szCs w:val="20"/>
              </w:rPr>
              <w:t>% к предыдущему году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iCs/>
                <w:color w:val="000000"/>
                <w:sz w:val="18"/>
                <w:szCs w:val="18"/>
              </w:rPr>
            </w:pPr>
            <w:r w:rsidRPr="006144A0">
              <w:rPr>
                <w:iCs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144A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144A0">
              <w:rPr>
                <w:color w:val="000000"/>
                <w:sz w:val="18"/>
                <w:szCs w:val="18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144A0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144A0"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144A0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101,5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F02312" w:rsidRDefault="00BD7D8E" w:rsidP="00BD7D8E">
            <w:pPr>
              <w:spacing w:line="240" w:lineRule="exact"/>
              <w:rPr>
                <w:b/>
              </w:rPr>
            </w:pPr>
            <w:r w:rsidRPr="00F02312">
              <w:rPr>
                <w:b/>
              </w:rPr>
              <w:t xml:space="preserve">Оборот общественного питания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A1031E" w:rsidRDefault="00A1031E" w:rsidP="00BD7D8E">
            <w:pPr>
              <w:spacing w:line="240" w:lineRule="exact"/>
              <w:jc w:val="center"/>
              <w:rPr>
                <w:iCs/>
                <w:sz w:val="18"/>
                <w:szCs w:val="18"/>
              </w:rPr>
            </w:pPr>
            <w:r w:rsidRPr="00A1031E">
              <w:rPr>
                <w:iCs/>
                <w:sz w:val="18"/>
                <w:szCs w:val="18"/>
              </w:rPr>
              <w:t>1540,5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A1031E" w:rsidRDefault="00A1031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31E">
              <w:rPr>
                <w:sz w:val="18"/>
                <w:szCs w:val="18"/>
              </w:rPr>
              <w:t>1464,1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A1031E" w:rsidRDefault="00A1031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31E">
              <w:rPr>
                <w:sz w:val="18"/>
                <w:szCs w:val="18"/>
              </w:rPr>
              <w:t>1454,3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A1031E" w:rsidRDefault="00A1031E" w:rsidP="005F1358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A1031E">
              <w:rPr>
                <w:sz w:val="18"/>
                <w:szCs w:val="18"/>
              </w:rPr>
              <w:t>1477,5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A1031E" w:rsidRDefault="00A1031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31E">
              <w:rPr>
                <w:sz w:val="18"/>
                <w:szCs w:val="18"/>
              </w:rPr>
              <w:t>1490,4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A1031E" w:rsidRDefault="00A1031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31E">
              <w:rPr>
                <w:sz w:val="18"/>
                <w:szCs w:val="18"/>
              </w:rPr>
              <w:t>1509,8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A1031E" w:rsidRDefault="00A1031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31E">
              <w:rPr>
                <w:sz w:val="18"/>
                <w:szCs w:val="18"/>
              </w:rPr>
              <w:t>1498,8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A1031E" w:rsidRDefault="00A1031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31E">
              <w:rPr>
                <w:sz w:val="18"/>
                <w:szCs w:val="18"/>
              </w:rPr>
              <w:t>1586,2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rPr>
                <w:i/>
                <w:iCs/>
              </w:rPr>
            </w:pPr>
            <w:r w:rsidRPr="001D55CD">
              <w:rPr>
                <w:i/>
                <w:iCs/>
              </w:rPr>
              <w:t xml:space="preserve">Индекс-дефлятор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iCs/>
                <w:sz w:val="20"/>
                <w:szCs w:val="20"/>
              </w:rPr>
            </w:pPr>
            <w:r w:rsidRPr="0013462F">
              <w:rPr>
                <w:iCs/>
                <w:sz w:val="20"/>
                <w:szCs w:val="20"/>
              </w:rPr>
              <w:t>% к предыдущему году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B6CD7" w:rsidP="00BD7D8E">
            <w:pPr>
              <w:spacing w:line="240" w:lineRule="exact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B6CD7" w:rsidP="00BB6CD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BD7D8E" w:rsidRPr="006144A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B6CD7" w:rsidP="00BB6CD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  <w:r w:rsidR="00BD7D8E" w:rsidRPr="006144A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144A0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B6CD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144A0">
              <w:rPr>
                <w:color w:val="000000"/>
                <w:sz w:val="18"/>
                <w:szCs w:val="18"/>
              </w:rPr>
              <w:t>9</w:t>
            </w:r>
            <w:r w:rsidR="00BB6CD7">
              <w:rPr>
                <w:color w:val="000000"/>
                <w:sz w:val="18"/>
                <w:szCs w:val="18"/>
              </w:rPr>
              <w:t>3</w:t>
            </w:r>
            <w:r w:rsidRPr="006144A0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6144A0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95,5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BD7D8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144A0">
              <w:rPr>
                <w:sz w:val="18"/>
                <w:szCs w:val="18"/>
              </w:rPr>
              <w:t>100,5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ind w:firstLine="34"/>
            </w:pPr>
            <w:r w:rsidRPr="001D55CD">
              <w:rPr>
                <w:b/>
              </w:rPr>
              <w:t>Численность экономически активного населения (среднегодовая)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человек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A1031E" w:rsidRDefault="00A1031E" w:rsidP="00A10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17847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8F1E8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18022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rPr>
                <w:b/>
              </w:rPr>
            </w:pPr>
            <w:r w:rsidRPr="001D55CD">
              <w:rPr>
                <w:b/>
              </w:rPr>
              <w:t>Фонд начисленной заработной платы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2798549,2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A42386" w:rsidRDefault="00902FFB" w:rsidP="00BD7D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2983253,4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902FFB" w:rsidP="001B47A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3025018,9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902FFB" w:rsidP="00F350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3182319,8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902FFB" w:rsidP="00F350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3223689,9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902FFB" w:rsidP="00F350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3368755,8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902FFB" w:rsidP="00A423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3415918,4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902FFB" w:rsidP="00F350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3593546,2</w:t>
            </w:r>
          </w:p>
        </w:tc>
      </w:tr>
      <w:tr w:rsidR="00BD7D8E" w:rsidRPr="001D55CD" w:rsidTr="00574F83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D55CD" w:rsidRDefault="00BD7D8E" w:rsidP="00BD7D8E">
            <w:pPr>
              <w:spacing w:line="240" w:lineRule="exact"/>
              <w:ind w:left="34" w:right="-57"/>
              <w:rPr>
                <w:b/>
              </w:rPr>
            </w:pPr>
            <w:r w:rsidRPr="001D55CD">
              <w:rPr>
                <w:b/>
              </w:rPr>
              <w:t xml:space="preserve">Среднемесячная номинальная начисленная заработная плата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8E" w:rsidRPr="0013462F" w:rsidRDefault="00BD7D8E" w:rsidP="00BD7D8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рублей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ind w:lef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F350FD">
            <w:pPr>
              <w:ind w:left="-45" w:right="-10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36794,3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F350FD">
            <w:pPr>
              <w:ind w:left="-112" w:right="-17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ind w:right="-9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39259,5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902FFB" w:rsidP="00F350FD">
            <w:pPr>
              <w:ind w:right="-2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39795,4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BD7D8E">
            <w:pPr>
              <w:ind w:left="-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41889,9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902FFB" w:rsidP="00F350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42461,7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8E" w:rsidRPr="006144A0" w:rsidRDefault="00A1031E" w:rsidP="00F350F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44696,5</w:t>
            </w:r>
          </w:p>
        </w:tc>
      </w:tr>
      <w:tr w:rsidR="003D00B3" w:rsidRPr="001D55CD" w:rsidTr="00574F83">
        <w:trPr>
          <w:trHeight w:val="2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B3" w:rsidRPr="001D55CD" w:rsidRDefault="003D00B3" w:rsidP="003D00B3">
            <w:pPr>
              <w:spacing w:line="240" w:lineRule="exact"/>
              <w:ind w:right="-57"/>
              <w:rPr>
                <w:b/>
              </w:rPr>
            </w:pPr>
            <w:r w:rsidRPr="001D55CD">
              <w:rPr>
                <w:b/>
              </w:rPr>
              <w:t>Численность зарегистрированных безработных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B3" w:rsidRPr="0013462F" w:rsidRDefault="003D00B3" w:rsidP="003D00B3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3462F">
              <w:rPr>
                <w:sz w:val="20"/>
                <w:szCs w:val="20"/>
              </w:rPr>
              <w:t>человек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B3" w:rsidRPr="003D00B3" w:rsidRDefault="00902FFB" w:rsidP="003D00B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E449C">
              <w:rPr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B3" w:rsidRPr="00333A52" w:rsidRDefault="00902FFB" w:rsidP="003D00B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B3" w:rsidRPr="003D00B3" w:rsidRDefault="00902FFB" w:rsidP="00902FF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B3" w:rsidRPr="00333A52" w:rsidRDefault="00902FFB" w:rsidP="003D00B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3" w:rsidRPr="003D00B3" w:rsidRDefault="00902FFB" w:rsidP="00902FF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B3" w:rsidRPr="00333A52" w:rsidRDefault="00902FFB" w:rsidP="003D00B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B3" w:rsidRPr="003D00B3" w:rsidRDefault="00902FFB" w:rsidP="00902FF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B3" w:rsidRPr="00333A52" w:rsidRDefault="00902FFB" w:rsidP="003D00B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</w:tr>
    </w:tbl>
    <w:p w:rsidR="000613CD" w:rsidRDefault="000613CD" w:rsidP="000613CD">
      <w:pPr>
        <w:ind w:left="-709"/>
        <w:outlineLvl w:val="1"/>
      </w:pPr>
    </w:p>
    <w:p w:rsidR="00D75DB8" w:rsidRDefault="000613CD" w:rsidP="000613CD">
      <w:pPr>
        <w:ind w:left="-709"/>
        <w:outlineLvl w:val="1"/>
      </w:pPr>
      <w:r>
        <w:t xml:space="preserve">*- </w:t>
      </w:r>
      <w:r w:rsidR="009042D9">
        <w:t>согласно данных полученных и рассчитанных от Управления сельского хозяйства Администрации Исилькульского муниципального района</w:t>
      </w:r>
    </w:p>
    <w:p w:rsidR="006D62D2" w:rsidRDefault="006D62D2" w:rsidP="000613CD">
      <w:pPr>
        <w:ind w:left="-709"/>
        <w:outlineLvl w:val="1"/>
      </w:pPr>
    </w:p>
    <w:p w:rsidR="006D62D2" w:rsidRDefault="006D62D2" w:rsidP="000613CD">
      <w:pPr>
        <w:ind w:left="-709"/>
        <w:outlineLvl w:val="1"/>
      </w:pPr>
    </w:p>
    <w:p w:rsidR="007C3E13" w:rsidRDefault="007C3E13" w:rsidP="000613CD">
      <w:pPr>
        <w:ind w:left="-709"/>
        <w:outlineLvl w:val="1"/>
      </w:pPr>
    </w:p>
    <w:p w:rsidR="007C3E13" w:rsidRDefault="007C3E13" w:rsidP="000613CD">
      <w:pPr>
        <w:ind w:left="-709"/>
        <w:outlineLvl w:val="1"/>
      </w:pPr>
    </w:p>
    <w:p w:rsidR="007C3E13" w:rsidRDefault="007C3E13" w:rsidP="000613CD">
      <w:pPr>
        <w:ind w:left="-709"/>
        <w:outlineLvl w:val="1"/>
      </w:pPr>
    </w:p>
    <w:sectPr w:rsidR="007C3E13" w:rsidSect="000023C0">
      <w:headerReference w:type="even" r:id="rId9"/>
      <w:headerReference w:type="default" r:id="rId10"/>
      <w:pgSz w:w="11906" w:h="16838"/>
      <w:pgMar w:top="851" w:right="849" w:bottom="709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E8" w:rsidRDefault="008448E8">
      <w:r>
        <w:separator/>
      </w:r>
    </w:p>
  </w:endnote>
  <w:endnote w:type="continuationSeparator" w:id="0">
    <w:p w:rsidR="008448E8" w:rsidRDefault="0084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E8" w:rsidRDefault="008448E8">
      <w:r>
        <w:separator/>
      </w:r>
    </w:p>
  </w:footnote>
  <w:footnote w:type="continuationSeparator" w:id="0">
    <w:p w:rsidR="008448E8" w:rsidRDefault="0084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E8" w:rsidRDefault="008448E8" w:rsidP="00C300D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48E8" w:rsidRDefault="008448E8" w:rsidP="008E07E0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E8" w:rsidRDefault="008448E8" w:rsidP="00C300D7">
    <w:pPr>
      <w:pStyle w:val="a7"/>
      <w:framePr w:wrap="around" w:vAnchor="text" w:hAnchor="margin" w:xAlign="right" w:y="1"/>
      <w:rPr>
        <w:rStyle w:val="a8"/>
      </w:rPr>
    </w:pPr>
  </w:p>
  <w:p w:rsidR="008448E8" w:rsidRDefault="008448E8" w:rsidP="008E07E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7294DEE"/>
    <w:multiLevelType w:val="multilevel"/>
    <w:tmpl w:val="CECCF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4" w15:restartNumberingAfterBreak="0">
    <w:nsid w:val="092041B0"/>
    <w:multiLevelType w:val="hybridMultilevel"/>
    <w:tmpl w:val="6B865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45241"/>
    <w:multiLevelType w:val="hybridMultilevel"/>
    <w:tmpl w:val="6678AA7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A343D"/>
    <w:multiLevelType w:val="singleLevel"/>
    <w:tmpl w:val="827C76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1C75A9"/>
    <w:multiLevelType w:val="hybridMultilevel"/>
    <w:tmpl w:val="970ACF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24F94"/>
    <w:multiLevelType w:val="hybridMultilevel"/>
    <w:tmpl w:val="DC8C63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C7A44"/>
    <w:multiLevelType w:val="hybridMultilevel"/>
    <w:tmpl w:val="D924F33C"/>
    <w:lvl w:ilvl="0" w:tplc="C73CEF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77017"/>
    <w:multiLevelType w:val="hybridMultilevel"/>
    <w:tmpl w:val="36EA0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BB3D05"/>
    <w:multiLevelType w:val="hybridMultilevel"/>
    <w:tmpl w:val="FD5E9714"/>
    <w:lvl w:ilvl="0" w:tplc="DBB698E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56606"/>
    <w:multiLevelType w:val="singleLevel"/>
    <w:tmpl w:val="C322754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29757A"/>
    <w:multiLevelType w:val="hybridMultilevel"/>
    <w:tmpl w:val="7DA6E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4274B"/>
    <w:multiLevelType w:val="singleLevel"/>
    <w:tmpl w:val="D34C961E"/>
    <w:lvl w:ilvl="0">
      <w:start w:val="1"/>
      <w:numFmt w:val="decimal"/>
      <w:lvlText w:val="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9262646"/>
    <w:multiLevelType w:val="hybridMultilevel"/>
    <w:tmpl w:val="5630C72C"/>
    <w:lvl w:ilvl="0" w:tplc="BB6479CE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746A4E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  <w:lvlOverride w:ilvl="0">
      <w:startOverride w:val="1"/>
    </w:lvlOverride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5"/>
    <w:lvlOverride w:ilvl="0">
      <w:startOverride w:val="1"/>
    </w:lvlOverride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52B"/>
    <w:rsid w:val="0000007E"/>
    <w:rsid w:val="000021F9"/>
    <w:rsid w:val="000023C0"/>
    <w:rsid w:val="0000628F"/>
    <w:rsid w:val="00007A0B"/>
    <w:rsid w:val="0001354C"/>
    <w:rsid w:val="000145A3"/>
    <w:rsid w:val="00021E8E"/>
    <w:rsid w:val="00022090"/>
    <w:rsid w:val="00022362"/>
    <w:rsid w:val="00022C5D"/>
    <w:rsid w:val="00023B8C"/>
    <w:rsid w:val="00024723"/>
    <w:rsid w:val="00025113"/>
    <w:rsid w:val="00031C98"/>
    <w:rsid w:val="00031EE5"/>
    <w:rsid w:val="0003203C"/>
    <w:rsid w:val="00034094"/>
    <w:rsid w:val="00034B5D"/>
    <w:rsid w:val="00034C91"/>
    <w:rsid w:val="000458F7"/>
    <w:rsid w:val="00047130"/>
    <w:rsid w:val="00050FF2"/>
    <w:rsid w:val="00052C54"/>
    <w:rsid w:val="00052DCE"/>
    <w:rsid w:val="000534AD"/>
    <w:rsid w:val="00054CEB"/>
    <w:rsid w:val="000610FF"/>
    <w:rsid w:val="000613CD"/>
    <w:rsid w:val="000628F8"/>
    <w:rsid w:val="000648A9"/>
    <w:rsid w:val="00064A5B"/>
    <w:rsid w:val="0006517D"/>
    <w:rsid w:val="00074506"/>
    <w:rsid w:val="000746B2"/>
    <w:rsid w:val="000771A4"/>
    <w:rsid w:val="000805B1"/>
    <w:rsid w:val="00081381"/>
    <w:rsid w:val="00081C95"/>
    <w:rsid w:val="0008339E"/>
    <w:rsid w:val="00084BCE"/>
    <w:rsid w:val="00090740"/>
    <w:rsid w:val="0009118B"/>
    <w:rsid w:val="00092DC6"/>
    <w:rsid w:val="00093B69"/>
    <w:rsid w:val="000941CD"/>
    <w:rsid w:val="000A417C"/>
    <w:rsid w:val="000A5FEE"/>
    <w:rsid w:val="000A68A2"/>
    <w:rsid w:val="000A71E5"/>
    <w:rsid w:val="000A7A47"/>
    <w:rsid w:val="000B4EEB"/>
    <w:rsid w:val="000C08FE"/>
    <w:rsid w:val="000C5214"/>
    <w:rsid w:val="000C5B13"/>
    <w:rsid w:val="000C5EEA"/>
    <w:rsid w:val="000C62D6"/>
    <w:rsid w:val="000C70E2"/>
    <w:rsid w:val="000D0CB8"/>
    <w:rsid w:val="000D6239"/>
    <w:rsid w:val="000E029B"/>
    <w:rsid w:val="000E1E3D"/>
    <w:rsid w:val="000E552F"/>
    <w:rsid w:val="000E59DF"/>
    <w:rsid w:val="000F7672"/>
    <w:rsid w:val="0010095B"/>
    <w:rsid w:val="0010285C"/>
    <w:rsid w:val="00103B05"/>
    <w:rsid w:val="00106238"/>
    <w:rsid w:val="00107925"/>
    <w:rsid w:val="00111A97"/>
    <w:rsid w:val="001127AB"/>
    <w:rsid w:val="001139B7"/>
    <w:rsid w:val="00113E07"/>
    <w:rsid w:val="00115164"/>
    <w:rsid w:val="001164C9"/>
    <w:rsid w:val="00122136"/>
    <w:rsid w:val="00123FC2"/>
    <w:rsid w:val="001249FC"/>
    <w:rsid w:val="00125350"/>
    <w:rsid w:val="001270A9"/>
    <w:rsid w:val="00130C38"/>
    <w:rsid w:val="001310A7"/>
    <w:rsid w:val="001311F4"/>
    <w:rsid w:val="0013462F"/>
    <w:rsid w:val="00134AD2"/>
    <w:rsid w:val="00134C49"/>
    <w:rsid w:val="00134F94"/>
    <w:rsid w:val="0013574A"/>
    <w:rsid w:val="0014408F"/>
    <w:rsid w:val="00144BA8"/>
    <w:rsid w:val="001456DC"/>
    <w:rsid w:val="0015260B"/>
    <w:rsid w:val="0015571A"/>
    <w:rsid w:val="00157892"/>
    <w:rsid w:val="001602C1"/>
    <w:rsid w:val="001604B6"/>
    <w:rsid w:val="00160AC3"/>
    <w:rsid w:val="00162011"/>
    <w:rsid w:val="001634C3"/>
    <w:rsid w:val="001648F8"/>
    <w:rsid w:val="0016591C"/>
    <w:rsid w:val="0016689F"/>
    <w:rsid w:val="00166A07"/>
    <w:rsid w:val="00167E00"/>
    <w:rsid w:val="0017139A"/>
    <w:rsid w:val="001738DB"/>
    <w:rsid w:val="00182340"/>
    <w:rsid w:val="00187B08"/>
    <w:rsid w:val="0019141F"/>
    <w:rsid w:val="001952EB"/>
    <w:rsid w:val="00197542"/>
    <w:rsid w:val="00197687"/>
    <w:rsid w:val="001A1046"/>
    <w:rsid w:val="001A2603"/>
    <w:rsid w:val="001A5487"/>
    <w:rsid w:val="001B021E"/>
    <w:rsid w:val="001B03AA"/>
    <w:rsid w:val="001B14BE"/>
    <w:rsid w:val="001B2BA7"/>
    <w:rsid w:val="001B47AF"/>
    <w:rsid w:val="001B4976"/>
    <w:rsid w:val="001B67DE"/>
    <w:rsid w:val="001C0B7F"/>
    <w:rsid w:val="001C479F"/>
    <w:rsid w:val="001C6339"/>
    <w:rsid w:val="001D2FF8"/>
    <w:rsid w:val="001D3848"/>
    <w:rsid w:val="001D3C6C"/>
    <w:rsid w:val="001D55CD"/>
    <w:rsid w:val="001D5708"/>
    <w:rsid w:val="001D7B44"/>
    <w:rsid w:val="001E4679"/>
    <w:rsid w:val="001E6476"/>
    <w:rsid w:val="001E7A47"/>
    <w:rsid w:val="001F054B"/>
    <w:rsid w:val="001F07E4"/>
    <w:rsid w:val="001F0ECA"/>
    <w:rsid w:val="001F1DD6"/>
    <w:rsid w:val="001F399B"/>
    <w:rsid w:val="001F3AE0"/>
    <w:rsid w:val="001F40D5"/>
    <w:rsid w:val="0020190F"/>
    <w:rsid w:val="00203054"/>
    <w:rsid w:val="0020616F"/>
    <w:rsid w:val="00210548"/>
    <w:rsid w:val="00210E71"/>
    <w:rsid w:val="00211B62"/>
    <w:rsid w:val="00220516"/>
    <w:rsid w:val="002210AE"/>
    <w:rsid w:val="00223837"/>
    <w:rsid w:val="00234A4F"/>
    <w:rsid w:val="00234D86"/>
    <w:rsid w:val="00236214"/>
    <w:rsid w:val="00242677"/>
    <w:rsid w:val="00243C5A"/>
    <w:rsid w:val="00244CBB"/>
    <w:rsid w:val="00245331"/>
    <w:rsid w:val="00246A3D"/>
    <w:rsid w:val="00247447"/>
    <w:rsid w:val="00247F53"/>
    <w:rsid w:val="002528ED"/>
    <w:rsid w:val="002533CD"/>
    <w:rsid w:val="002535C4"/>
    <w:rsid w:val="002537B5"/>
    <w:rsid w:val="002621FB"/>
    <w:rsid w:val="00263970"/>
    <w:rsid w:val="002646B3"/>
    <w:rsid w:val="00264D90"/>
    <w:rsid w:val="0026512B"/>
    <w:rsid w:val="00265C53"/>
    <w:rsid w:val="0026733F"/>
    <w:rsid w:val="00271EC5"/>
    <w:rsid w:val="0027278D"/>
    <w:rsid w:val="002755BA"/>
    <w:rsid w:val="00275BDC"/>
    <w:rsid w:val="002760AA"/>
    <w:rsid w:val="00283721"/>
    <w:rsid w:val="00287C1C"/>
    <w:rsid w:val="00291D68"/>
    <w:rsid w:val="002930BB"/>
    <w:rsid w:val="00293902"/>
    <w:rsid w:val="00294A2C"/>
    <w:rsid w:val="002A0E57"/>
    <w:rsid w:val="002A1F69"/>
    <w:rsid w:val="002A2804"/>
    <w:rsid w:val="002A40A5"/>
    <w:rsid w:val="002A48E6"/>
    <w:rsid w:val="002A529E"/>
    <w:rsid w:val="002A5A3A"/>
    <w:rsid w:val="002A7C02"/>
    <w:rsid w:val="002B03EF"/>
    <w:rsid w:val="002B0BC0"/>
    <w:rsid w:val="002B4C5F"/>
    <w:rsid w:val="002B4DC9"/>
    <w:rsid w:val="002B570A"/>
    <w:rsid w:val="002B5D0D"/>
    <w:rsid w:val="002C329B"/>
    <w:rsid w:val="002C4D6A"/>
    <w:rsid w:val="002C7147"/>
    <w:rsid w:val="002D1830"/>
    <w:rsid w:val="002D1AF2"/>
    <w:rsid w:val="002D3215"/>
    <w:rsid w:val="002D4DAA"/>
    <w:rsid w:val="002E0483"/>
    <w:rsid w:val="002E0665"/>
    <w:rsid w:val="002E4A40"/>
    <w:rsid w:val="002E578E"/>
    <w:rsid w:val="002E6D19"/>
    <w:rsid w:val="002E7408"/>
    <w:rsid w:val="002F049E"/>
    <w:rsid w:val="002F4B99"/>
    <w:rsid w:val="002F7004"/>
    <w:rsid w:val="003004B4"/>
    <w:rsid w:val="00303632"/>
    <w:rsid w:val="00305561"/>
    <w:rsid w:val="00307B7C"/>
    <w:rsid w:val="00313518"/>
    <w:rsid w:val="00313DEB"/>
    <w:rsid w:val="00315AA0"/>
    <w:rsid w:val="00320925"/>
    <w:rsid w:val="003227E2"/>
    <w:rsid w:val="003228E3"/>
    <w:rsid w:val="00323187"/>
    <w:rsid w:val="00323D2F"/>
    <w:rsid w:val="00326141"/>
    <w:rsid w:val="00330B95"/>
    <w:rsid w:val="00331A39"/>
    <w:rsid w:val="003333CB"/>
    <w:rsid w:val="00333866"/>
    <w:rsid w:val="00333A52"/>
    <w:rsid w:val="0033575F"/>
    <w:rsid w:val="00337BAA"/>
    <w:rsid w:val="00340E0C"/>
    <w:rsid w:val="00341089"/>
    <w:rsid w:val="003427DA"/>
    <w:rsid w:val="003433B2"/>
    <w:rsid w:val="00345980"/>
    <w:rsid w:val="00346C95"/>
    <w:rsid w:val="00350A6A"/>
    <w:rsid w:val="0035237D"/>
    <w:rsid w:val="00352496"/>
    <w:rsid w:val="00356C81"/>
    <w:rsid w:val="00357559"/>
    <w:rsid w:val="00362B63"/>
    <w:rsid w:val="003630D9"/>
    <w:rsid w:val="00364537"/>
    <w:rsid w:val="00364F7E"/>
    <w:rsid w:val="00365CB5"/>
    <w:rsid w:val="003664DC"/>
    <w:rsid w:val="00366F95"/>
    <w:rsid w:val="00367DA4"/>
    <w:rsid w:val="003733FA"/>
    <w:rsid w:val="0037733A"/>
    <w:rsid w:val="003802AA"/>
    <w:rsid w:val="00382BD2"/>
    <w:rsid w:val="00384110"/>
    <w:rsid w:val="00385403"/>
    <w:rsid w:val="003918AE"/>
    <w:rsid w:val="00392A3B"/>
    <w:rsid w:val="00394F76"/>
    <w:rsid w:val="003961DF"/>
    <w:rsid w:val="00396ED8"/>
    <w:rsid w:val="003A2FFF"/>
    <w:rsid w:val="003A3D7D"/>
    <w:rsid w:val="003A450A"/>
    <w:rsid w:val="003A65E2"/>
    <w:rsid w:val="003A6960"/>
    <w:rsid w:val="003A6D7F"/>
    <w:rsid w:val="003B1E93"/>
    <w:rsid w:val="003B32FA"/>
    <w:rsid w:val="003B3EC1"/>
    <w:rsid w:val="003B4729"/>
    <w:rsid w:val="003C4535"/>
    <w:rsid w:val="003C4FFB"/>
    <w:rsid w:val="003C53F8"/>
    <w:rsid w:val="003D00B3"/>
    <w:rsid w:val="003D12DE"/>
    <w:rsid w:val="003D4939"/>
    <w:rsid w:val="003E2322"/>
    <w:rsid w:val="003E2B3A"/>
    <w:rsid w:val="003E2C7D"/>
    <w:rsid w:val="003E3A66"/>
    <w:rsid w:val="003E3E18"/>
    <w:rsid w:val="003E5CAA"/>
    <w:rsid w:val="003F1C76"/>
    <w:rsid w:val="003F55E3"/>
    <w:rsid w:val="003F6EE7"/>
    <w:rsid w:val="00400B8E"/>
    <w:rsid w:val="0040237D"/>
    <w:rsid w:val="00403141"/>
    <w:rsid w:val="004051B7"/>
    <w:rsid w:val="00406873"/>
    <w:rsid w:val="00407AD0"/>
    <w:rsid w:val="00411272"/>
    <w:rsid w:val="00417D48"/>
    <w:rsid w:val="0042336B"/>
    <w:rsid w:val="00425927"/>
    <w:rsid w:val="004279A9"/>
    <w:rsid w:val="00430C37"/>
    <w:rsid w:val="00431455"/>
    <w:rsid w:val="0043165C"/>
    <w:rsid w:val="004323F4"/>
    <w:rsid w:val="004335BB"/>
    <w:rsid w:val="00433B2B"/>
    <w:rsid w:val="0044497E"/>
    <w:rsid w:val="00445192"/>
    <w:rsid w:val="00445CC8"/>
    <w:rsid w:val="00456C60"/>
    <w:rsid w:val="004574E1"/>
    <w:rsid w:val="0046193F"/>
    <w:rsid w:val="004623E3"/>
    <w:rsid w:val="00463CD8"/>
    <w:rsid w:val="004643AF"/>
    <w:rsid w:val="00466DA0"/>
    <w:rsid w:val="00473DBB"/>
    <w:rsid w:val="004838CD"/>
    <w:rsid w:val="00483FDB"/>
    <w:rsid w:val="00485674"/>
    <w:rsid w:val="00486359"/>
    <w:rsid w:val="0048712A"/>
    <w:rsid w:val="004877E1"/>
    <w:rsid w:val="00487E06"/>
    <w:rsid w:val="004920FC"/>
    <w:rsid w:val="00494576"/>
    <w:rsid w:val="00497774"/>
    <w:rsid w:val="004A1A04"/>
    <w:rsid w:val="004A20F1"/>
    <w:rsid w:val="004A698D"/>
    <w:rsid w:val="004A75A7"/>
    <w:rsid w:val="004B0585"/>
    <w:rsid w:val="004B0CBF"/>
    <w:rsid w:val="004B2183"/>
    <w:rsid w:val="004B7104"/>
    <w:rsid w:val="004C3200"/>
    <w:rsid w:val="004C3C14"/>
    <w:rsid w:val="004C3D9A"/>
    <w:rsid w:val="004C4406"/>
    <w:rsid w:val="004D14EB"/>
    <w:rsid w:val="004D1769"/>
    <w:rsid w:val="004D1F02"/>
    <w:rsid w:val="004D20DC"/>
    <w:rsid w:val="004D298E"/>
    <w:rsid w:val="004D74D6"/>
    <w:rsid w:val="004F0E50"/>
    <w:rsid w:val="004F138D"/>
    <w:rsid w:val="004F37F3"/>
    <w:rsid w:val="00500693"/>
    <w:rsid w:val="005021CE"/>
    <w:rsid w:val="00504C62"/>
    <w:rsid w:val="00506E8F"/>
    <w:rsid w:val="00510AF7"/>
    <w:rsid w:val="00511198"/>
    <w:rsid w:val="0051505B"/>
    <w:rsid w:val="005159A5"/>
    <w:rsid w:val="00516431"/>
    <w:rsid w:val="00524318"/>
    <w:rsid w:val="005263E9"/>
    <w:rsid w:val="00527735"/>
    <w:rsid w:val="00532193"/>
    <w:rsid w:val="00532F27"/>
    <w:rsid w:val="005339C5"/>
    <w:rsid w:val="00535B63"/>
    <w:rsid w:val="00536E88"/>
    <w:rsid w:val="00542A0B"/>
    <w:rsid w:val="00545ACA"/>
    <w:rsid w:val="00547575"/>
    <w:rsid w:val="0055094D"/>
    <w:rsid w:val="00553A59"/>
    <w:rsid w:val="005562E8"/>
    <w:rsid w:val="00557E14"/>
    <w:rsid w:val="00560AD1"/>
    <w:rsid w:val="0056114C"/>
    <w:rsid w:val="00561DDA"/>
    <w:rsid w:val="00570997"/>
    <w:rsid w:val="00570AD4"/>
    <w:rsid w:val="00573F9E"/>
    <w:rsid w:val="00574F83"/>
    <w:rsid w:val="005801E4"/>
    <w:rsid w:val="005815EC"/>
    <w:rsid w:val="00584141"/>
    <w:rsid w:val="005841E4"/>
    <w:rsid w:val="00584488"/>
    <w:rsid w:val="00586634"/>
    <w:rsid w:val="00587AC7"/>
    <w:rsid w:val="005900EB"/>
    <w:rsid w:val="005911EE"/>
    <w:rsid w:val="00592298"/>
    <w:rsid w:val="00594D86"/>
    <w:rsid w:val="005A08A7"/>
    <w:rsid w:val="005A3AA5"/>
    <w:rsid w:val="005A48D7"/>
    <w:rsid w:val="005A5419"/>
    <w:rsid w:val="005A58FF"/>
    <w:rsid w:val="005A5EBF"/>
    <w:rsid w:val="005A7937"/>
    <w:rsid w:val="005B1FE2"/>
    <w:rsid w:val="005B34E7"/>
    <w:rsid w:val="005C16F7"/>
    <w:rsid w:val="005C3B52"/>
    <w:rsid w:val="005D43A6"/>
    <w:rsid w:val="005D47A1"/>
    <w:rsid w:val="005D4B89"/>
    <w:rsid w:val="005D5F8C"/>
    <w:rsid w:val="005D65E4"/>
    <w:rsid w:val="005E2564"/>
    <w:rsid w:val="005E7EFE"/>
    <w:rsid w:val="005F025C"/>
    <w:rsid w:val="005F1358"/>
    <w:rsid w:val="005F167A"/>
    <w:rsid w:val="005F6F18"/>
    <w:rsid w:val="0060428B"/>
    <w:rsid w:val="00606E26"/>
    <w:rsid w:val="00606F30"/>
    <w:rsid w:val="00611A0D"/>
    <w:rsid w:val="00621CBD"/>
    <w:rsid w:val="00623574"/>
    <w:rsid w:val="006237A3"/>
    <w:rsid w:val="00624E0B"/>
    <w:rsid w:val="00624F83"/>
    <w:rsid w:val="00630741"/>
    <w:rsid w:val="00635727"/>
    <w:rsid w:val="006407DD"/>
    <w:rsid w:val="00640FA5"/>
    <w:rsid w:val="006414BD"/>
    <w:rsid w:val="00641516"/>
    <w:rsid w:val="00644D2C"/>
    <w:rsid w:val="006509CA"/>
    <w:rsid w:val="00651585"/>
    <w:rsid w:val="00661517"/>
    <w:rsid w:val="006618FB"/>
    <w:rsid w:val="00663BFA"/>
    <w:rsid w:val="0066443A"/>
    <w:rsid w:val="0066536F"/>
    <w:rsid w:val="00666AEC"/>
    <w:rsid w:val="0066717E"/>
    <w:rsid w:val="006701DF"/>
    <w:rsid w:val="00674675"/>
    <w:rsid w:val="006755CA"/>
    <w:rsid w:val="00677092"/>
    <w:rsid w:val="006771AE"/>
    <w:rsid w:val="0068324F"/>
    <w:rsid w:val="00694BDD"/>
    <w:rsid w:val="006A0185"/>
    <w:rsid w:val="006A19B0"/>
    <w:rsid w:val="006A6F11"/>
    <w:rsid w:val="006A7FFE"/>
    <w:rsid w:val="006B1183"/>
    <w:rsid w:val="006B1343"/>
    <w:rsid w:val="006B1EAB"/>
    <w:rsid w:val="006B2022"/>
    <w:rsid w:val="006B2D13"/>
    <w:rsid w:val="006B4E12"/>
    <w:rsid w:val="006B67DF"/>
    <w:rsid w:val="006C1D64"/>
    <w:rsid w:val="006C25FE"/>
    <w:rsid w:val="006C2B95"/>
    <w:rsid w:val="006C36FD"/>
    <w:rsid w:val="006C3D31"/>
    <w:rsid w:val="006C408D"/>
    <w:rsid w:val="006C48F8"/>
    <w:rsid w:val="006D10D1"/>
    <w:rsid w:val="006D62D2"/>
    <w:rsid w:val="006D7BAE"/>
    <w:rsid w:val="006E0BAD"/>
    <w:rsid w:val="006E3BFE"/>
    <w:rsid w:val="006F7228"/>
    <w:rsid w:val="006F7F20"/>
    <w:rsid w:val="006F7FF2"/>
    <w:rsid w:val="0070049C"/>
    <w:rsid w:val="007042BD"/>
    <w:rsid w:val="00704752"/>
    <w:rsid w:val="0071216E"/>
    <w:rsid w:val="0071374B"/>
    <w:rsid w:val="00720E31"/>
    <w:rsid w:val="0072398C"/>
    <w:rsid w:val="007239F8"/>
    <w:rsid w:val="00723A8C"/>
    <w:rsid w:val="00723CF8"/>
    <w:rsid w:val="00723E54"/>
    <w:rsid w:val="007273A6"/>
    <w:rsid w:val="00727D94"/>
    <w:rsid w:val="0073160C"/>
    <w:rsid w:val="007329CC"/>
    <w:rsid w:val="00734429"/>
    <w:rsid w:val="0073700E"/>
    <w:rsid w:val="00740C7C"/>
    <w:rsid w:val="00743512"/>
    <w:rsid w:val="0074527C"/>
    <w:rsid w:val="00747681"/>
    <w:rsid w:val="00747744"/>
    <w:rsid w:val="00750122"/>
    <w:rsid w:val="0075586C"/>
    <w:rsid w:val="00755BC2"/>
    <w:rsid w:val="00755F45"/>
    <w:rsid w:val="007567BE"/>
    <w:rsid w:val="007575CB"/>
    <w:rsid w:val="007608EA"/>
    <w:rsid w:val="00761D36"/>
    <w:rsid w:val="00763017"/>
    <w:rsid w:val="00763396"/>
    <w:rsid w:val="0076362D"/>
    <w:rsid w:val="00765027"/>
    <w:rsid w:val="00765317"/>
    <w:rsid w:val="00765F0B"/>
    <w:rsid w:val="00772314"/>
    <w:rsid w:val="007744CC"/>
    <w:rsid w:val="0077479C"/>
    <w:rsid w:val="00776443"/>
    <w:rsid w:val="00777225"/>
    <w:rsid w:val="00781ACB"/>
    <w:rsid w:val="0078352B"/>
    <w:rsid w:val="007837BA"/>
    <w:rsid w:val="00783E62"/>
    <w:rsid w:val="00784C23"/>
    <w:rsid w:val="00791E19"/>
    <w:rsid w:val="007923BC"/>
    <w:rsid w:val="00796EF1"/>
    <w:rsid w:val="00796F70"/>
    <w:rsid w:val="0079753E"/>
    <w:rsid w:val="00797645"/>
    <w:rsid w:val="007A299F"/>
    <w:rsid w:val="007A31C5"/>
    <w:rsid w:val="007A354A"/>
    <w:rsid w:val="007A5D46"/>
    <w:rsid w:val="007B0C57"/>
    <w:rsid w:val="007B28D0"/>
    <w:rsid w:val="007B2C46"/>
    <w:rsid w:val="007B3166"/>
    <w:rsid w:val="007B3680"/>
    <w:rsid w:val="007B4A7C"/>
    <w:rsid w:val="007B525C"/>
    <w:rsid w:val="007C27AC"/>
    <w:rsid w:val="007C2EEB"/>
    <w:rsid w:val="007C3E13"/>
    <w:rsid w:val="007C410F"/>
    <w:rsid w:val="007C7789"/>
    <w:rsid w:val="007D21EF"/>
    <w:rsid w:val="007D2C9C"/>
    <w:rsid w:val="007D3A08"/>
    <w:rsid w:val="007E1420"/>
    <w:rsid w:val="007E1577"/>
    <w:rsid w:val="007E2737"/>
    <w:rsid w:val="007E4C50"/>
    <w:rsid w:val="007E4F4A"/>
    <w:rsid w:val="007E5265"/>
    <w:rsid w:val="007E6BD7"/>
    <w:rsid w:val="007E6EEF"/>
    <w:rsid w:val="007E7C61"/>
    <w:rsid w:val="007F3BC9"/>
    <w:rsid w:val="008037B7"/>
    <w:rsid w:val="00804AD5"/>
    <w:rsid w:val="0080558F"/>
    <w:rsid w:val="00805C2E"/>
    <w:rsid w:val="00806525"/>
    <w:rsid w:val="00815B5D"/>
    <w:rsid w:val="0081686E"/>
    <w:rsid w:val="00817C3A"/>
    <w:rsid w:val="00822796"/>
    <w:rsid w:val="00824AA7"/>
    <w:rsid w:val="00831670"/>
    <w:rsid w:val="00832DD0"/>
    <w:rsid w:val="00836AF2"/>
    <w:rsid w:val="00836FE9"/>
    <w:rsid w:val="00837BBC"/>
    <w:rsid w:val="008448C6"/>
    <w:rsid w:val="008448E8"/>
    <w:rsid w:val="00845336"/>
    <w:rsid w:val="008460FA"/>
    <w:rsid w:val="00846202"/>
    <w:rsid w:val="00847570"/>
    <w:rsid w:val="00852FE6"/>
    <w:rsid w:val="00856B6E"/>
    <w:rsid w:val="00856D7C"/>
    <w:rsid w:val="008576BF"/>
    <w:rsid w:val="00857B40"/>
    <w:rsid w:val="00860225"/>
    <w:rsid w:val="00860A60"/>
    <w:rsid w:val="008610B8"/>
    <w:rsid w:val="00863C5E"/>
    <w:rsid w:val="00866D41"/>
    <w:rsid w:val="00867DD1"/>
    <w:rsid w:val="00871D78"/>
    <w:rsid w:val="008759CE"/>
    <w:rsid w:val="00876042"/>
    <w:rsid w:val="008814A9"/>
    <w:rsid w:val="00885311"/>
    <w:rsid w:val="00886F5B"/>
    <w:rsid w:val="00891A64"/>
    <w:rsid w:val="00892061"/>
    <w:rsid w:val="008968DA"/>
    <w:rsid w:val="00896E5F"/>
    <w:rsid w:val="008A1ADF"/>
    <w:rsid w:val="008A35EF"/>
    <w:rsid w:val="008A4386"/>
    <w:rsid w:val="008B0B57"/>
    <w:rsid w:val="008B278E"/>
    <w:rsid w:val="008C58C7"/>
    <w:rsid w:val="008C65FD"/>
    <w:rsid w:val="008C6F84"/>
    <w:rsid w:val="008D057F"/>
    <w:rsid w:val="008D0C8B"/>
    <w:rsid w:val="008D6F74"/>
    <w:rsid w:val="008E07E0"/>
    <w:rsid w:val="008E0912"/>
    <w:rsid w:val="008E4F00"/>
    <w:rsid w:val="008E5826"/>
    <w:rsid w:val="008E6AC7"/>
    <w:rsid w:val="008F1E8F"/>
    <w:rsid w:val="008F65CE"/>
    <w:rsid w:val="008F684A"/>
    <w:rsid w:val="0090077B"/>
    <w:rsid w:val="00900C68"/>
    <w:rsid w:val="00901606"/>
    <w:rsid w:val="00902FFB"/>
    <w:rsid w:val="009042D9"/>
    <w:rsid w:val="0090710A"/>
    <w:rsid w:val="00915B38"/>
    <w:rsid w:val="00917CA7"/>
    <w:rsid w:val="009209B9"/>
    <w:rsid w:val="00926DC2"/>
    <w:rsid w:val="009273F4"/>
    <w:rsid w:val="009311AF"/>
    <w:rsid w:val="00932830"/>
    <w:rsid w:val="00935747"/>
    <w:rsid w:val="009369BE"/>
    <w:rsid w:val="00937BAB"/>
    <w:rsid w:val="00940E89"/>
    <w:rsid w:val="00954DA6"/>
    <w:rsid w:val="00954E13"/>
    <w:rsid w:val="0095537B"/>
    <w:rsid w:val="00955EDC"/>
    <w:rsid w:val="009572C7"/>
    <w:rsid w:val="00964D08"/>
    <w:rsid w:val="009653B3"/>
    <w:rsid w:val="00965AD6"/>
    <w:rsid w:val="009712BF"/>
    <w:rsid w:val="00971D4F"/>
    <w:rsid w:val="0097336C"/>
    <w:rsid w:val="00975D47"/>
    <w:rsid w:val="00977257"/>
    <w:rsid w:val="0097766B"/>
    <w:rsid w:val="009779A9"/>
    <w:rsid w:val="00980F5D"/>
    <w:rsid w:val="00983B7F"/>
    <w:rsid w:val="00983DF8"/>
    <w:rsid w:val="00985B8F"/>
    <w:rsid w:val="00993E65"/>
    <w:rsid w:val="009A3500"/>
    <w:rsid w:val="009A3981"/>
    <w:rsid w:val="009A7AAF"/>
    <w:rsid w:val="009B19FE"/>
    <w:rsid w:val="009B6F90"/>
    <w:rsid w:val="009C17DF"/>
    <w:rsid w:val="009C27D6"/>
    <w:rsid w:val="009C27E5"/>
    <w:rsid w:val="009D0325"/>
    <w:rsid w:val="009D24F9"/>
    <w:rsid w:val="009D3545"/>
    <w:rsid w:val="009E0A2F"/>
    <w:rsid w:val="009E0C46"/>
    <w:rsid w:val="009E137F"/>
    <w:rsid w:val="009E1771"/>
    <w:rsid w:val="009E428F"/>
    <w:rsid w:val="009E7261"/>
    <w:rsid w:val="009F3F8B"/>
    <w:rsid w:val="009F5384"/>
    <w:rsid w:val="009F6D5F"/>
    <w:rsid w:val="009F74A2"/>
    <w:rsid w:val="00A00CA5"/>
    <w:rsid w:val="00A01169"/>
    <w:rsid w:val="00A01605"/>
    <w:rsid w:val="00A046EE"/>
    <w:rsid w:val="00A04F5B"/>
    <w:rsid w:val="00A05FE7"/>
    <w:rsid w:val="00A061B5"/>
    <w:rsid w:val="00A1031E"/>
    <w:rsid w:val="00A10655"/>
    <w:rsid w:val="00A1160A"/>
    <w:rsid w:val="00A11F17"/>
    <w:rsid w:val="00A120D2"/>
    <w:rsid w:val="00A16AF0"/>
    <w:rsid w:val="00A20F9D"/>
    <w:rsid w:val="00A230A6"/>
    <w:rsid w:val="00A24AD9"/>
    <w:rsid w:val="00A30521"/>
    <w:rsid w:val="00A32D95"/>
    <w:rsid w:val="00A33D4A"/>
    <w:rsid w:val="00A354F2"/>
    <w:rsid w:val="00A36C06"/>
    <w:rsid w:val="00A40922"/>
    <w:rsid w:val="00A42386"/>
    <w:rsid w:val="00A45051"/>
    <w:rsid w:val="00A474D5"/>
    <w:rsid w:val="00A47C4A"/>
    <w:rsid w:val="00A506AD"/>
    <w:rsid w:val="00A51772"/>
    <w:rsid w:val="00A53070"/>
    <w:rsid w:val="00A530C0"/>
    <w:rsid w:val="00A537E3"/>
    <w:rsid w:val="00A53A54"/>
    <w:rsid w:val="00A557C3"/>
    <w:rsid w:val="00A60614"/>
    <w:rsid w:val="00A63271"/>
    <w:rsid w:val="00A63901"/>
    <w:rsid w:val="00A65278"/>
    <w:rsid w:val="00A65D81"/>
    <w:rsid w:val="00A661C8"/>
    <w:rsid w:val="00A712D7"/>
    <w:rsid w:val="00A71470"/>
    <w:rsid w:val="00A8035E"/>
    <w:rsid w:val="00A83C34"/>
    <w:rsid w:val="00A8400C"/>
    <w:rsid w:val="00A87DEB"/>
    <w:rsid w:val="00A910FC"/>
    <w:rsid w:val="00A94788"/>
    <w:rsid w:val="00A96399"/>
    <w:rsid w:val="00A96D53"/>
    <w:rsid w:val="00AA1957"/>
    <w:rsid w:val="00AA3D94"/>
    <w:rsid w:val="00AA3F3E"/>
    <w:rsid w:val="00AA4B05"/>
    <w:rsid w:val="00AA5147"/>
    <w:rsid w:val="00AB1DB9"/>
    <w:rsid w:val="00AB37E1"/>
    <w:rsid w:val="00AB5332"/>
    <w:rsid w:val="00AB60A6"/>
    <w:rsid w:val="00AB6D70"/>
    <w:rsid w:val="00AB74A3"/>
    <w:rsid w:val="00AC047D"/>
    <w:rsid w:val="00AC2264"/>
    <w:rsid w:val="00AC2CF7"/>
    <w:rsid w:val="00AC350A"/>
    <w:rsid w:val="00AC4470"/>
    <w:rsid w:val="00AC62AA"/>
    <w:rsid w:val="00AC7CAF"/>
    <w:rsid w:val="00AD1239"/>
    <w:rsid w:val="00AD217F"/>
    <w:rsid w:val="00AD6FEB"/>
    <w:rsid w:val="00AE0ADC"/>
    <w:rsid w:val="00AE1276"/>
    <w:rsid w:val="00AE1698"/>
    <w:rsid w:val="00AE2582"/>
    <w:rsid w:val="00AE3B73"/>
    <w:rsid w:val="00AE552A"/>
    <w:rsid w:val="00AE7A5B"/>
    <w:rsid w:val="00AF06D4"/>
    <w:rsid w:val="00AF1B1C"/>
    <w:rsid w:val="00AF2E5F"/>
    <w:rsid w:val="00AF5931"/>
    <w:rsid w:val="00AF5FAA"/>
    <w:rsid w:val="00AF632C"/>
    <w:rsid w:val="00B01891"/>
    <w:rsid w:val="00B02F59"/>
    <w:rsid w:val="00B03FB5"/>
    <w:rsid w:val="00B041E8"/>
    <w:rsid w:val="00B11001"/>
    <w:rsid w:val="00B1142E"/>
    <w:rsid w:val="00B1746D"/>
    <w:rsid w:val="00B17745"/>
    <w:rsid w:val="00B21C1B"/>
    <w:rsid w:val="00B25C69"/>
    <w:rsid w:val="00B264B8"/>
    <w:rsid w:val="00B26A9D"/>
    <w:rsid w:val="00B275FF"/>
    <w:rsid w:val="00B27990"/>
    <w:rsid w:val="00B357CB"/>
    <w:rsid w:val="00B44490"/>
    <w:rsid w:val="00B4451E"/>
    <w:rsid w:val="00B468E4"/>
    <w:rsid w:val="00B46E89"/>
    <w:rsid w:val="00B47FB3"/>
    <w:rsid w:val="00B53A1C"/>
    <w:rsid w:val="00B53D8C"/>
    <w:rsid w:val="00B6295E"/>
    <w:rsid w:val="00B710E0"/>
    <w:rsid w:val="00B71D6B"/>
    <w:rsid w:val="00B72A53"/>
    <w:rsid w:val="00B75FB2"/>
    <w:rsid w:val="00B775DB"/>
    <w:rsid w:val="00B77FC9"/>
    <w:rsid w:val="00B81697"/>
    <w:rsid w:val="00B8169E"/>
    <w:rsid w:val="00B81A9C"/>
    <w:rsid w:val="00B8233C"/>
    <w:rsid w:val="00B8497B"/>
    <w:rsid w:val="00B86C3D"/>
    <w:rsid w:val="00B87966"/>
    <w:rsid w:val="00B92A50"/>
    <w:rsid w:val="00B92FD8"/>
    <w:rsid w:val="00BA4DD7"/>
    <w:rsid w:val="00BA5272"/>
    <w:rsid w:val="00BA75A4"/>
    <w:rsid w:val="00BB0562"/>
    <w:rsid w:val="00BB6CD7"/>
    <w:rsid w:val="00BB77FC"/>
    <w:rsid w:val="00BC7C02"/>
    <w:rsid w:val="00BD06AD"/>
    <w:rsid w:val="00BD0B3E"/>
    <w:rsid w:val="00BD1062"/>
    <w:rsid w:val="00BD34C2"/>
    <w:rsid w:val="00BD7117"/>
    <w:rsid w:val="00BD7D8E"/>
    <w:rsid w:val="00BE01CE"/>
    <w:rsid w:val="00BE1350"/>
    <w:rsid w:val="00BE2BF5"/>
    <w:rsid w:val="00BE35DB"/>
    <w:rsid w:val="00BE3966"/>
    <w:rsid w:val="00BE4F88"/>
    <w:rsid w:val="00BE7216"/>
    <w:rsid w:val="00BF0CD7"/>
    <w:rsid w:val="00BF2BF9"/>
    <w:rsid w:val="00BF4967"/>
    <w:rsid w:val="00C01117"/>
    <w:rsid w:val="00C01456"/>
    <w:rsid w:val="00C020D6"/>
    <w:rsid w:val="00C06312"/>
    <w:rsid w:val="00C07095"/>
    <w:rsid w:val="00C07C8D"/>
    <w:rsid w:val="00C07FBA"/>
    <w:rsid w:val="00C12C3D"/>
    <w:rsid w:val="00C14285"/>
    <w:rsid w:val="00C144EE"/>
    <w:rsid w:val="00C20497"/>
    <w:rsid w:val="00C2195C"/>
    <w:rsid w:val="00C27DA5"/>
    <w:rsid w:val="00C300D7"/>
    <w:rsid w:val="00C3035E"/>
    <w:rsid w:val="00C30EA3"/>
    <w:rsid w:val="00C30F72"/>
    <w:rsid w:val="00C328DA"/>
    <w:rsid w:val="00C40781"/>
    <w:rsid w:val="00C40DF5"/>
    <w:rsid w:val="00C4424F"/>
    <w:rsid w:val="00C45956"/>
    <w:rsid w:val="00C5179A"/>
    <w:rsid w:val="00C57BDD"/>
    <w:rsid w:val="00C60821"/>
    <w:rsid w:val="00C61023"/>
    <w:rsid w:val="00C652B1"/>
    <w:rsid w:val="00C6673E"/>
    <w:rsid w:val="00C7102A"/>
    <w:rsid w:val="00C714F2"/>
    <w:rsid w:val="00C71788"/>
    <w:rsid w:val="00C72C23"/>
    <w:rsid w:val="00C72F26"/>
    <w:rsid w:val="00C81FDE"/>
    <w:rsid w:val="00C82506"/>
    <w:rsid w:val="00C840DB"/>
    <w:rsid w:val="00C87E25"/>
    <w:rsid w:val="00C9079C"/>
    <w:rsid w:val="00C919D9"/>
    <w:rsid w:val="00C9678E"/>
    <w:rsid w:val="00C96B59"/>
    <w:rsid w:val="00CA0C7D"/>
    <w:rsid w:val="00CA3B8B"/>
    <w:rsid w:val="00CA4246"/>
    <w:rsid w:val="00CA7EA9"/>
    <w:rsid w:val="00CB092E"/>
    <w:rsid w:val="00CB1BD3"/>
    <w:rsid w:val="00CC0138"/>
    <w:rsid w:val="00CC4482"/>
    <w:rsid w:val="00CC7505"/>
    <w:rsid w:val="00CC79C4"/>
    <w:rsid w:val="00CD26B3"/>
    <w:rsid w:val="00CD2EAB"/>
    <w:rsid w:val="00CD526B"/>
    <w:rsid w:val="00CD57E1"/>
    <w:rsid w:val="00CD5A59"/>
    <w:rsid w:val="00CE2027"/>
    <w:rsid w:val="00CE2D4D"/>
    <w:rsid w:val="00CE449C"/>
    <w:rsid w:val="00CE4B7A"/>
    <w:rsid w:val="00CE5116"/>
    <w:rsid w:val="00CF205B"/>
    <w:rsid w:val="00CF7EAD"/>
    <w:rsid w:val="00D0146D"/>
    <w:rsid w:val="00D015F4"/>
    <w:rsid w:val="00D03976"/>
    <w:rsid w:val="00D07497"/>
    <w:rsid w:val="00D1158A"/>
    <w:rsid w:val="00D117FF"/>
    <w:rsid w:val="00D11896"/>
    <w:rsid w:val="00D14C1C"/>
    <w:rsid w:val="00D179DA"/>
    <w:rsid w:val="00D205B4"/>
    <w:rsid w:val="00D2086B"/>
    <w:rsid w:val="00D22019"/>
    <w:rsid w:val="00D25063"/>
    <w:rsid w:val="00D2508B"/>
    <w:rsid w:val="00D32C91"/>
    <w:rsid w:val="00D33359"/>
    <w:rsid w:val="00D34BCD"/>
    <w:rsid w:val="00D37E9E"/>
    <w:rsid w:val="00D4356B"/>
    <w:rsid w:val="00D44B95"/>
    <w:rsid w:val="00D6037D"/>
    <w:rsid w:val="00D6145C"/>
    <w:rsid w:val="00D66597"/>
    <w:rsid w:val="00D67965"/>
    <w:rsid w:val="00D702F7"/>
    <w:rsid w:val="00D70D8A"/>
    <w:rsid w:val="00D71A04"/>
    <w:rsid w:val="00D71E63"/>
    <w:rsid w:val="00D723BB"/>
    <w:rsid w:val="00D73325"/>
    <w:rsid w:val="00D7355E"/>
    <w:rsid w:val="00D73C7A"/>
    <w:rsid w:val="00D73E90"/>
    <w:rsid w:val="00D75DB8"/>
    <w:rsid w:val="00D76440"/>
    <w:rsid w:val="00D76F7C"/>
    <w:rsid w:val="00D80757"/>
    <w:rsid w:val="00D87DC6"/>
    <w:rsid w:val="00D9205B"/>
    <w:rsid w:val="00D92A89"/>
    <w:rsid w:val="00D93305"/>
    <w:rsid w:val="00D96A2D"/>
    <w:rsid w:val="00DA0518"/>
    <w:rsid w:val="00DA136B"/>
    <w:rsid w:val="00DA2FC3"/>
    <w:rsid w:val="00DA5455"/>
    <w:rsid w:val="00DB09AC"/>
    <w:rsid w:val="00DB0FF8"/>
    <w:rsid w:val="00DB1371"/>
    <w:rsid w:val="00DB4464"/>
    <w:rsid w:val="00DC21EC"/>
    <w:rsid w:val="00DC2278"/>
    <w:rsid w:val="00DC4AAC"/>
    <w:rsid w:val="00DC4E9D"/>
    <w:rsid w:val="00DC7769"/>
    <w:rsid w:val="00DC794E"/>
    <w:rsid w:val="00DD2186"/>
    <w:rsid w:val="00DD27F7"/>
    <w:rsid w:val="00DD3B54"/>
    <w:rsid w:val="00DD4153"/>
    <w:rsid w:val="00DD4C28"/>
    <w:rsid w:val="00DF0AB4"/>
    <w:rsid w:val="00DF2CCA"/>
    <w:rsid w:val="00E015A4"/>
    <w:rsid w:val="00E0393F"/>
    <w:rsid w:val="00E0425E"/>
    <w:rsid w:val="00E05013"/>
    <w:rsid w:val="00E07A5D"/>
    <w:rsid w:val="00E14401"/>
    <w:rsid w:val="00E15555"/>
    <w:rsid w:val="00E17B80"/>
    <w:rsid w:val="00E20992"/>
    <w:rsid w:val="00E21DA5"/>
    <w:rsid w:val="00E23C79"/>
    <w:rsid w:val="00E30BA3"/>
    <w:rsid w:val="00E33A81"/>
    <w:rsid w:val="00E34FC7"/>
    <w:rsid w:val="00E35314"/>
    <w:rsid w:val="00E35690"/>
    <w:rsid w:val="00E36190"/>
    <w:rsid w:val="00E44ACC"/>
    <w:rsid w:val="00E44F5D"/>
    <w:rsid w:val="00E477B9"/>
    <w:rsid w:val="00E54B98"/>
    <w:rsid w:val="00E5703E"/>
    <w:rsid w:val="00E621B8"/>
    <w:rsid w:val="00E626D9"/>
    <w:rsid w:val="00E63AEE"/>
    <w:rsid w:val="00E64B9A"/>
    <w:rsid w:val="00E70D4E"/>
    <w:rsid w:val="00E71696"/>
    <w:rsid w:val="00E73409"/>
    <w:rsid w:val="00E737A4"/>
    <w:rsid w:val="00E76CCA"/>
    <w:rsid w:val="00E80D57"/>
    <w:rsid w:val="00E812B5"/>
    <w:rsid w:val="00E820F2"/>
    <w:rsid w:val="00E85916"/>
    <w:rsid w:val="00E8641D"/>
    <w:rsid w:val="00E865B1"/>
    <w:rsid w:val="00E86EB2"/>
    <w:rsid w:val="00E923DD"/>
    <w:rsid w:val="00E93A43"/>
    <w:rsid w:val="00E94BD8"/>
    <w:rsid w:val="00EA05FE"/>
    <w:rsid w:val="00EA0A59"/>
    <w:rsid w:val="00EA12EF"/>
    <w:rsid w:val="00EA2958"/>
    <w:rsid w:val="00EA4DC2"/>
    <w:rsid w:val="00EA6CF3"/>
    <w:rsid w:val="00EB28BC"/>
    <w:rsid w:val="00EB540E"/>
    <w:rsid w:val="00EB5AA9"/>
    <w:rsid w:val="00EB6211"/>
    <w:rsid w:val="00EB69FD"/>
    <w:rsid w:val="00EC338B"/>
    <w:rsid w:val="00EC47E5"/>
    <w:rsid w:val="00ED1DC8"/>
    <w:rsid w:val="00ED48EE"/>
    <w:rsid w:val="00ED6CF0"/>
    <w:rsid w:val="00ED7277"/>
    <w:rsid w:val="00ED77C5"/>
    <w:rsid w:val="00ED7BE6"/>
    <w:rsid w:val="00EE15BC"/>
    <w:rsid w:val="00EE42EB"/>
    <w:rsid w:val="00EE45E4"/>
    <w:rsid w:val="00EF0B10"/>
    <w:rsid w:val="00EF0F79"/>
    <w:rsid w:val="00EF7257"/>
    <w:rsid w:val="00EF7C8D"/>
    <w:rsid w:val="00F00B51"/>
    <w:rsid w:val="00F01239"/>
    <w:rsid w:val="00F02312"/>
    <w:rsid w:val="00F035AC"/>
    <w:rsid w:val="00F03D5D"/>
    <w:rsid w:val="00F04334"/>
    <w:rsid w:val="00F05EB3"/>
    <w:rsid w:val="00F064B5"/>
    <w:rsid w:val="00F10126"/>
    <w:rsid w:val="00F118C9"/>
    <w:rsid w:val="00F11FF5"/>
    <w:rsid w:val="00F12794"/>
    <w:rsid w:val="00F13E7C"/>
    <w:rsid w:val="00F1600C"/>
    <w:rsid w:val="00F17942"/>
    <w:rsid w:val="00F20839"/>
    <w:rsid w:val="00F232FA"/>
    <w:rsid w:val="00F26170"/>
    <w:rsid w:val="00F3276D"/>
    <w:rsid w:val="00F350FD"/>
    <w:rsid w:val="00F36362"/>
    <w:rsid w:val="00F40BEF"/>
    <w:rsid w:val="00F425EA"/>
    <w:rsid w:val="00F469D6"/>
    <w:rsid w:val="00F512A4"/>
    <w:rsid w:val="00F52F85"/>
    <w:rsid w:val="00F53BD1"/>
    <w:rsid w:val="00F55319"/>
    <w:rsid w:val="00F60A3B"/>
    <w:rsid w:val="00F744CA"/>
    <w:rsid w:val="00F7590E"/>
    <w:rsid w:val="00F76FB6"/>
    <w:rsid w:val="00F8026C"/>
    <w:rsid w:val="00F81DD8"/>
    <w:rsid w:val="00F855A4"/>
    <w:rsid w:val="00F8751E"/>
    <w:rsid w:val="00F90653"/>
    <w:rsid w:val="00F931AB"/>
    <w:rsid w:val="00F9475E"/>
    <w:rsid w:val="00F97D52"/>
    <w:rsid w:val="00FA5794"/>
    <w:rsid w:val="00FB1228"/>
    <w:rsid w:val="00FB16F5"/>
    <w:rsid w:val="00FB2244"/>
    <w:rsid w:val="00FB6DFF"/>
    <w:rsid w:val="00FC71E0"/>
    <w:rsid w:val="00FD02AA"/>
    <w:rsid w:val="00FD038E"/>
    <w:rsid w:val="00FD0C0A"/>
    <w:rsid w:val="00FD2D9E"/>
    <w:rsid w:val="00FD4900"/>
    <w:rsid w:val="00FD4CB9"/>
    <w:rsid w:val="00FD7FA6"/>
    <w:rsid w:val="00FE2A93"/>
    <w:rsid w:val="00FE6418"/>
    <w:rsid w:val="00FF5CBF"/>
    <w:rsid w:val="00FF63DC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59118"/>
  <w15:docId w15:val="{6257C49C-9E24-4C05-B28B-E1277066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6960"/>
    <w:rPr>
      <w:sz w:val="24"/>
      <w:szCs w:val="24"/>
    </w:rPr>
  </w:style>
  <w:style w:type="paragraph" w:styleId="2">
    <w:name w:val="heading 2"/>
    <w:basedOn w:val="a0"/>
    <w:next w:val="a0"/>
    <w:qFormat/>
    <w:rsid w:val="003A2FFF"/>
    <w:pPr>
      <w:keepNext/>
      <w:jc w:val="both"/>
      <w:outlineLvl w:val="1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61517"/>
    <w:pPr>
      <w:jc w:val="center"/>
    </w:pPr>
    <w:rPr>
      <w:sz w:val="28"/>
      <w:szCs w:val="20"/>
    </w:rPr>
  </w:style>
  <w:style w:type="paragraph" w:styleId="a5">
    <w:name w:val="Body Text"/>
    <w:basedOn w:val="a0"/>
    <w:rsid w:val="00661517"/>
    <w:pPr>
      <w:jc w:val="both"/>
    </w:pPr>
    <w:rPr>
      <w:sz w:val="28"/>
      <w:szCs w:val="20"/>
    </w:rPr>
  </w:style>
  <w:style w:type="paragraph" w:styleId="a6">
    <w:name w:val="Body Text Indent"/>
    <w:basedOn w:val="a0"/>
    <w:rsid w:val="00661517"/>
    <w:pPr>
      <w:ind w:firstLine="720"/>
      <w:jc w:val="both"/>
    </w:pPr>
    <w:rPr>
      <w:sz w:val="28"/>
      <w:szCs w:val="20"/>
    </w:rPr>
  </w:style>
  <w:style w:type="paragraph" w:styleId="20">
    <w:name w:val="Body Text 2"/>
    <w:basedOn w:val="a0"/>
    <w:rsid w:val="00661517"/>
    <w:pPr>
      <w:jc w:val="both"/>
    </w:pPr>
    <w:rPr>
      <w:color w:val="0000FF"/>
      <w:szCs w:val="20"/>
    </w:rPr>
  </w:style>
  <w:style w:type="paragraph" w:styleId="21">
    <w:name w:val="Body Text Indent 2"/>
    <w:basedOn w:val="a0"/>
    <w:rsid w:val="00661517"/>
    <w:pPr>
      <w:ind w:firstLine="720"/>
      <w:jc w:val="both"/>
    </w:pPr>
    <w:rPr>
      <w:color w:val="0000FF"/>
      <w:szCs w:val="20"/>
    </w:rPr>
  </w:style>
  <w:style w:type="paragraph" w:styleId="3">
    <w:name w:val="Body Text Indent 3"/>
    <w:basedOn w:val="a0"/>
    <w:rsid w:val="00661517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8E07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07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0"/>
    <w:rsid w:val="008E07E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E07E0"/>
  </w:style>
  <w:style w:type="table" w:styleId="a9">
    <w:name w:val="Table Grid"/>
    <w:basedOn w:val="a2"/>
    <w:rsid w:val="00EE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rsid w:val="00E8641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760A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2760AA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ab">
    <w:name w:val="Цветовое выделение"/>
    <w:rsid w:val="00DA2FC3"/>
    <w:rPr>
      <w:b/>
      <w:bCs/>
      <w:color w:val="000080"/>
    </w:rPr>
  </w:style>
  <w:style w:type="character" w:styleId="ac">
    <w:name w:val="Hyperlink"/>
    <w:basedOn w:val="a1"/>
    <w:rsid w:val="002E578E"/>
    <w:rPr>
      <w:color w:val="0000FF"/>
      <w:u w:val="single"/>
    </w:rPr>
  </w:style>
  <w:style w:type="paragraph" w:styleId="a">
    <w:name w:val="List Paragraph"/>
    <w:basedOn w:val="a0"/>
    <w:qFormat/>
    <w:rsid w:val="002E578E"/>
    <w:pPr>
      <w:numPr>
        <w:numId w:val="15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d">
    <w:name w:val="No Spacing"/>
    <w:qFormat/>
    <w:rsid w:val="002E578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0"/>
    <w:rsid w:val="002E578E"/>
    <w:pPr>
      <w:autoSpaceDE w:val="0"/>
      <w:autoSpaceDN w:val="0"/>
      <w:adjustRightInd w:val="0"/>
      <w:ind w:left="1740" w:hanging="1020"/>
      <w:jc w:val="both"/>
    </w:pPr>
    <w:rPr>
      <w:color w:val="000000"/>
      <w:sz w:val="28"/>
      <w:szCs w:val="28"/>
    </w:rPr>
  </w:style>
  <w:style w:type="paragraph" w:customStyle="1" w:styleId="ae">
    <w:name w:val="Таблицы (моноширинный)"/>
    <w:basedOn w:val="a0"/>
    <w:next w:val="a0"/>
    <w:rsid w:val="002E578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Style4">
    <w:name w:val="Style4"/>
    <w:basedOn w:val="a0"/>
    <w:rsid w:val="002E578E"/>
    <w:pPr>
      <w:widowControl w:val="0"/>
      <w:autoSpaceDE w:val="0"/>
      <w:autoSpaceDN w:val="0"/>
      <w:adjustRightInd w:val="0"/>
      <w:spacing w:line="328" w:lineRule="exact"/>
      <w:ind w:firstLine="754"/>
      <w:jc w:val="both"/>
    </w:pPr>
  </w:style>
  <w:style w:type="character" w:customStyle="1" w:styleId="FontStyle12">
    <w:name w:val="Font Style12"/>
    <w:basedOn w:val="a1"/>
    <w:rsid w:val="002E578E"/>
    <w:rPr>
      <w:rFonts w:ascii="Times New Roman" w:hAnsi="Times New Roman" w:cs="Times New Roman" w:hint="default"/>
      <w:sz w:val="26"/>
      <w:szCs w:val="26"/>
    </w:rPr>
  </w:style>
  <w:style w:type="character" w:styleId="af">
    <w:name w:val="Strong"/>
    <w:basedOn w:val="a1"/>
    <w:qFormat/>
    <w:rsid w:val="002E578E"/>
    <w:rPr>
      <w:b/>
      <w:bCs/>
    </w:rPr>
  </w:style>
  <w:style w:type="paragraph" w:styleId="af0">
    <w:name w:val="Balloon Text"/>
    <w:basedOn w:val="a0"/>
    <w:semiHidden/>
    <w:rsid w:val="002B4DC9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rsid w:val="00FD7FA6"/>
    <w:pPr>
      <w:spacing w:before="100" w:beforeAutospacing="1" w:after="100" w:afterAutospacing="1"/>
    </w:pPr>
  </w:style>
  <w:style w:type="character" w:customStyle="1" w:styleId="22">
    <w:name w:val="Основной текст (2)_"/>
    <w:link w:val="23"/>
    <w:rsid w:val="00FD7FA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FD7FA6"/>
    <w:pPr>
      <w:widowControl w:val="0"/>
      <w:shd w:val="clear" w:color="auto" w:fill="FFFFFF"/>
      <w:spacing w:before="6500" w:line="310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lk.omskportal.ru/ru/municipal/localAuthL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F7C5-B570-4968-BFBE-409D5B8E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7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Administrawia</Company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Mashinopis</dc:creator>
  <cp:lastModifiedBy>Ольга Корягина</cp:lastModifiedBy>
  <cp:revision>109</cp:revision>
  <cp:lastPrinted>2023-07-27T07:33:00Z</cp:lastPrinted>
  <dcterms:created xsi:type="dcterms:W3CDTF">2017-11-07T03:54:00Z</dcterms:created>
  <dcterms:modified xsi:type="dcterms:W3CDTF">2023-08-09T04:35:00Z</dcterms:modified>
</cp:coreProperties>
</file>