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267"/>
        <w:gridCol w:w="1246"/>
        <w:gridCol w:w="3117"/>
        <w:gridCol w:w="1700"/>
        <w:gridCol w:w="1984"/>
      </w:tblGrid>
      <w:tr w:rsidR="00B96028">
        <w:trPr>
          <w:trHeight w:val="680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к отчету об исполнении консолидированного бюджета</w:t>
            </w:r>
          </w:p>
        </w:tc>
      </w:tr>
      <w:tr w:rsidR="00B96028">
        <w:trPr>
          <w:trHeight w:val="1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Форма по ОКУД 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6028" w:rsidRDefault="00253B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0503360</w:t>
            </w: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6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63"/>
            </w:tblGrid>
            <w:tr w:rsidR="00B96028">
              <w:trPr>
                <w:jc w:val="center"/>
              </w:trPr>
              <w:tc>
                <w:tcPr>
                  <w:tcW w:w="43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2023 г.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6028" w:rsidRDefault="00253B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01.01.2023</w:t>
            </w:r>
          </w:p>
        </w:tc>
      </w:tr>
      <w:tr w:rsidR="00B96028">
        <w:trPr>
          <w:trHeight w:val="226"/>
        </w:trPr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ОКПО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6028" w:rsidRDefault="00253B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02290947</w:t>
            </w:r>
          </w:p>
        </w:tc>
      </w:tr>
      <w:tr w:rsidR="00B96028">
        <w:tc>
          <w:tcPr>
            <w:tcW w:w="351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финансового органа</w:t>
            </w:r>
          </w:p>
        </w:tc>
        <w:tc>
          <w:tcPr>
            <w:tcW w:w="31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КОМИТЕТ ФИНАНСОВ И КОНТРОЛЯ АДМИНИСТРАЦИИ ИСИЛЬКУЛЬСКОГО МУНИЦИПАЛЬНОГО РАЙОНА ОМСКОЙ ОБЛАСТИ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по БК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253B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</w:t>
            </w:r>
          </w:p>
        </w:tc>
      </w:tr>
      <w:tr w:rsidR="00B96028">
        <w:tc>
          <w:tcPr>
            <w:tcW w:w="351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1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Консолидированный Бюджет </w:t>
            </w: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муниципального района Омской области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ОКТМО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19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984"/>
            </w:tblGrid>
            <w:tr w:rsidR="00B96028">
              <w:trPr>
                <w:jc w:val="center"/>
              </w:trPr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52615000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Периодичность:</w:t>
            </w: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месячная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измерения:</w:t>
            </w: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ОКЕИ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6028" w:rsidRDefault="00253B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  <w:tr w:rsidR="00B96028">
        <w:trPr>
          <w:trHeight w:val="566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96028" w:rsidRDefault="00B96028">
      <w:pPr>
        <w:rPr>
          <w:vanish/>
        </w:rPr>
      </w:pPr>
      <w:bookmarkStart w:id="1" w:name="__bookmark_2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267"/>
        <w:gridCol w:w="623"/>
        <w:gridCol w:w="623"/>
        <w:gridCol w:w="283"/>
        <w:gridCol w:w="2834"/>
        <w:gridCol w:w="1700"/>
        <w:gridCol w:w="1984"/>
      </w:tblGrid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  <w:jc w:val="center"/>
            </w:pPr>
          </w:p>
        </w:tc>
      </w:tr>
      <w:tr w:rsidR="00B96028">
        <w:trPr>
          <w:trHeight w:val="322"/>
        </w:trPr>
        <w:tc>
          <w:tcPr>
            <w:tcW w:w="1031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B9602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Главный распорядитель бюджетных средств. Полное наименование: Комитет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МР Омской области. Юридический адрес: 646020, Омская область, г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.И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силькуль, ул.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Советкая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62 ИНН 5514003577, КПП 551401001,ОГРН 10255015771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77 Дата присвоения ОГРН: 20.08.2002г. ОКФС: 14 - Муниципальная собственность ОКОГУ: 3300100 - Местные администрации (исполнительно-распорядительные органы) муниципальных районов ОКТМО: 52615101001 Комитет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ниципального района Омской области возглавляет заместитель главы Администрации по финансово-экономическим вопросам, председатель комитета финансов муниципального района. Комитет состоит из структурных подразделений, осуществляющих свою деятельность в соотв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етствии с Положением о Комитете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области. Учетная политика утверждена приказом Комитета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и опу</w:t>
                  </w:r>
                  <w:r>
                    <w:rPr>
                      <w:color w:val="000000"/>
                      <w:sz w:val="28"/>
                      <w:szCs w:val="28"/>
                    </w:rPr>
                    <w:t>бликована на сайте. Отчетность составлена отделом бухгалтерского учета и отчетности: начальник отдела Ковалёва Тамара Петровна, главный специалист Соркина Оксана Александровна, главный специалист Шульц Наталья Владимировна.</w:t>
                  </w:r>
                </w:p>
                <w:p w:rsidR="00B96028" w:rsidRDefault="00B96028">
                  <w:pPr>
                    <w:jc w:val="both"/>
                  </w:pPr>
                </w:p>
              </w:tc>
            </w:tr>
          </w:tbl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B96028">
        <w:trPr>
          <w:trHeight w:val="322"/>
        </w:trPr>
        <w:tc>
          <w:tcPr>
            <w:tcW w:w="1031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B9602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2022 году ежеквартально принимались отчеты об исполнении бюджета муниципальных образований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района. </w:t>
                  </w:r>
                </w:p>
                <w:p w:rsidR="00B96028" w:rsidRDefault="00253BBF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 целях обеспечения сбалансированности и укрепления финансовой устойчиво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сти бюджета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реализуется План мероприятий по консолидации бюджетных средств, в целях оздоровления муниципальных финансов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на 2017-2026 годы, утвержденный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постановлением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от 29.11.2016 года № 540 (далее – План), мероприятия которой направлены на:</w:t>
                  </w:r>
                  <w:proofErr w:type="gramEnd"/>
                </w:p>
                <w:p w:rsidR="00B96028" w:rsidRDefault="00253BB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1) рост доходного потенциала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района;</w:t>
                  </w:r>
                </w:p>
                <w:p w:rsidR="00B96028" w:rsidRDefault="00253BB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2) оптимизацию расходов. </w:t>
                  </w:r>
                </w:p>
                <w:p w:rsidR="00B96028" w:rsidRDefault="00253BB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ито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гам 2022 года за счет реализации мероприятий Плана обеспечена экономия расходов консолидированного бюджета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 района на 17 711 829,67рублей.</w:t>
                  </w:r>
                </w:p>
                <w:p w:rsidR="00B96028" w:rsidRDefault="00253BBF">
                  <w:pPr>
                    <w:spacing w:before="190" w:after="190"/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За 2022 год общая численность работников органов местного самоуправления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района Омской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области сократилась на 2,3 штатных единиц или на 1,6 процента от численности работников органов местного самоуправления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 района Омской области на 31 декабря 2021 года. </w:t>
                  </w:r>
                </w:p>
                <w:p w:rsidR="00B96028" w:rsidRDefault="00253BB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целях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обеспечения запланированных результатов деятельности главных рас</w:t>
                  </w:r>
                  <w:r>
                    <w:rPr>
                      <w:color w:val="000000"/>
                      <w:sz w:val="28"/>
                      <w:szCs w:val="28"/>
                    </w:rPr>
                    <w:t>порядителей средств районного бюджета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их подведомственных учреждений в 2022 году осуществлены мероприятия по повышению квалификации и переподготовке специалистов. На данные цели в 2022 году направлено бюджетных средств 747 443,00 рубля. Повысили квалифик</w:t>
                  </w:r>
                  <w:r>
                    <w:rPr>
                      <w:color w:val="000000"/>
                      <w:sz w:val="28"/>
                      <w:szCs w:val="28"/>
                    </w:rPr>
                    <w:t>ацию 391 человек. </w:t>
                  </w:r>
                </w:p>
              </w:tc>
            </w:tr>
          </w:tbl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96028">
        <w:trPr>
          <w:trHeight w:val="322"/>
        </w:trPr>
        <w:tc>
          <w:tcPr>
            <w:tcW w:w="1031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 отчетности»</w:t>
            </w:r>
          </w:p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B9602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0314"/>
                  </w:tblGrid>
                  <w:tr w:rsidR="00B96028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Годовой отчет за 2022 год составлен в соответствии с ФСБУ № 260н "Представление бухгалтерской (финансовой) отчетности» и N 256н "Об утверждении федерального стандарта бухгалтерского учета для организаций государственного сектора "Концептуальные основы бухг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алтерского учета и отчетности организаций государственного сектора". Показатели консолидированной бухгалтерской (финансовой) отчетности сформированы путем суммирования одноименных показателей и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исключения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подлежащих консолидации взаимосвязанных показателей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(при наличии таковых) бухгалтерской (финансовой) отчетности группы субъектов отчетности. Все учреждения согласно ФСБУ внесли изменения в учетную политику. По форме 0503321 по коду КОСГУ 172 наличие отрицательного показателя в сумме 2293737,32 руб. объясня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ется  списанием земельного участка по причине его размежевания (раздел) и разделения на 2 новых участка, наличие отрицательных показателей по КОСГУ 173 объясняется списанием безнадежной задолженности.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По форме 0503369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по  сч.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120523000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144,50 руб.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,  по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120535000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41308,78, по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120544000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616873,00 руб., по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120545000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-163453,14 руб., по сч.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120934000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-41308,79 руб., по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130304001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1,00 руб., по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130313000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-111731,00 руб. несоответстви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 остатков дебиторской задолженности на начало этого года и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конец прошлого ошибки прошлых лет отражены в ф.0503373. Несоответствие суммы кредиторской задолженности по счету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,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 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сч.130226000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на сумму 54190,00руб. на начало этого года и на конец прошлого из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-за ошибок прошлых лет, отраженных в ф. 0503373. Просроченная дебиторской задолженности по доходам больше 1 млн. руб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.(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недоимка по земле, физические лица).</w:t>
                        </w:r>
                      </w:p>
                    </w:tc>
                  </w:tr>
                </w:tbl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По форме 0503323 по строке 0409 КОСГУ 129 отражены доходы от платы за наем жилого помещения, по дог</w:t>
                  </w:r>
                  <w:r>
                    <w:rPr>
                      <w:color w:val="000000"/>
                      <w:sz w:val="28"/>
                      <w:szCs w:val="28"/>
                    </w:rPr>
                    <w:t>оворам социального найма и плата за размещение нестационарного торгового объекта.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форме 0503320 по счету 020100000 отражены  денежные документы на сумму 125963,10руб.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( 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86937,10 руб. по бюджету муниципального района и 39026,00руб. по бюджету городского </w:t>
                  </w:r>
                  <w:r>
                    <w:rPr>
                      <w:color w:val="000000"/>
                      <w:sz w:val="28"/>
                      <w:szCs w:val="28"/>
                    </w:rPr>
                    <w:t>сельского поселения).</w:t>
                  </w:r>
                </w:p>
              </w:tc>
            </w:tr>
          </w:tbl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B96028">
        <w:trPr>
          <w:trHeight w:val="322"/>
        </w:trPr>
        <w:tc>
          <w:tcPr>
            <w:tcW w:w="1031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B9602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0314"/>
                  </w:tblGrid>
                  <w:tr w:rsidR="00B96028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Дебиторская, Кредиторская задолженность консолидированного бюджета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Исилькульского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МР за 2022 год.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счету 0205 00 000 «Расчеты по доходам» составила 1 868 342 562,52 руб. в том числе операционная аренда 7 203 613,89 руб., платежи за пользование природными ресурсами 180 781 169,76 руб., иные доходы от собственности 56 137,18 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уб.,  расчеты по доходом от оказания платных услуг 160 503,57</w:t>
                        </w:r>
                        <w:r>
                          <w:rPr>
                            <w:color w:val="FF0000"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руб., расчеты по доходом от операций с основными средствами 3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600,00руб., сумма принудительного изъятия 143 694,87 руб., налоговые доходы 5 983 496,70 руб., расчеты по безвозмездным поступлениям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1 673 367 165,58 руб.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счету 0205 00 000 «Расчеты по доходам» составила по налогам 7 309 167,64 руб., госпошлина 16,45руб., доходы от сумм принудительного изъятия 16 020,00руб.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счету 020600000 "Ра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счеты по выданным авансам" составила 1 060 669,70 руб. в том числе: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120621000 "Расчеты по авансам по услугам связи" 11 790,70 руб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.в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том числе 5 990,00 предоплата за почтовые уведомления АО "Почта России",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5 800,70 руб. предоплата услуги сотовой связ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 ОАО "МТС";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120626000 "Расчеты по авансам по прочим работам, услугам" 15 800,00 руб. предоплата НЧОУ ДПО "Сибирский образовательный центр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"(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обучение);</w:t>
                        </w:r>
                      </w:p>
                      <w:p w:rsidR="00B96028" w:rsidRDefault="00253BBF">
                        <w:pPr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Счет 20628000 «Расчеты по авансам по услугам, работам для целей капитальных вложений» 1 033 079,00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руб. предоплата услуг на проведение государственной экспертизы АУ "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Госэкспертиза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Омской области" по договорам №0258/09-07-0258/1-22 от 08.12.2022 -879 661,00 руб., № 0232/09-07-0234/1-22 от 16.11.2022 на 153 418,00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руб. (сроки оказания услуг до декабря 202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года).;</w:t>
                        </w:r>
                        <w:proofErr w:type="gramEnd"/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 020800000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"Расчеты с подотчетными лицами" составила 193 080,28руб.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120821000 "Расчеты с подотчетными лицами по оплате услуг связи" в сумме 32 680,28 руб. денежные документы в подотчете (конверты, марки).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120896000 "Расчеты с подотчетными лицами по оплате иных выплат текущего характера" сумма, выданная под отчет 160 400,00 руб. в связи с проведением мероприятий, проходивших в конце 2022 года - начале 2023.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счету 020900000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«Расчеты по ущербу имущества» составила 25 617 416,22 руб. в том числе: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020934000 «Расчеты по компенсации затрат» 2 543,62 руб. начислена сумма ущерба бывших работников перед учреждением;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020936000 «Расчеты по доходам бюджета от возврата дебиторс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кой задолженности прошлых лет»  567 950,81 руб.  начислен  возврат дебиторской задолженности прошлых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лет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подлежащий зачислению в бюджет (ГСМ, услуги связи, предоплата за электроэнергию (уличное освещение),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120941000 « Расчеты по доходам от штрафных 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анкций за нарушение условий контрактов» в сумме 906 487,29 руб. начислена неустойка по контракту,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120944000 «Расчеты по доходам от возмещения ущерба имуществу» 2 673,79 руб. начислен доход за  ущерб автомобиля;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120945000 «Расчеты по доходам от п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рочих сумм принудительного изъятия» 24 137 760,71 руб. доходы  от возмещения ущерба, причиненного в результате незаконного использования бюджетных средств бывшего главы городского поселения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Гилль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В.В. по решению суда.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Дебиторская задолженность по счету 030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300000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"Расчеты по платежам в бюджет" составила519 049,22 руб.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130301000 "Расчеты по налогу на доходы физических лиц" 23 380,69 руб. переплата подоходного налога (перерасчет).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130302000 "Расчеты по страховым взносам на обязательное социальное 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трахование на случай временной нетрудоспособности и в связи с материнством" 579,10 руб. переплата по страховым взносам.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130305000 "Расчеты по прочим платежам" переплата по налогу на транспорт 52 411,92 руб.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130307000 "Расчеты по страховым взносам на обязательное медицинское страхование" 130,40 руб. переплата страховых взносов.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Счет 130310000 "Расчеты по страховым взносам на обязательное пенсионное страхование на выплату страховой части трудовой пенсии"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7 729,09 руб. переплата страховых взносов.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130312000 «Расчеты по налогу на имущество организаций» 158146,62 руб. авансовые платежи по налогу на имущество.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Счет 130313000 «Расчеты по земельному налогу» 276 671,40 переплата земельного налога.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lastRenderedPageBreak/>
                          <w:t>Кредит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орская задолженность по счету 030200000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"Расчеты по принятым обязательствам" составила: 1 974 732,16 руб.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Счет 130221000 "Расчеты по услугам связи" 4 916,37 руб. кредиторская задолженность по услугам связи за декабрь 2022г. оплата в январе 2022года. ПАО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Ростелеком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130222000 "Расчеты по транспортным услугам " 117 737,82 руб. кредиторская задолженность по транспортным услугам за декабрь 2022г. оплата в январе 2023года. НПХ "Боевое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"-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филиал ФГБНУ" Омский АНЦ"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Счет 130223000  «Расчеты по коммунальным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услугам» руб. Всего: 1 813 509,87, в т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.ч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: 191 090,26 руб. -  ООО "Омская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энергосбытовая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компания" электроэнергия за декабрь 2022г ; 1 622 010,86 руб.   ОАО "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Омскоблводопровод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" задолженность за потери по водоснабжению согласно исполнительного листа; 408,75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руб. ООО "Газпром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межрегионгаз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Омск" за газ.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 30263000 "Расчеты по пособиям по социальной помощи населению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." 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Задолженность по компенсации родительской платы за декабрь 2022 в сумме 36 568,10 руб. срок выплаты в январе 2023г.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Счет 130297000 "Расчеты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по иным выплатам текущего характера организациям"  2 000,00 руб. госпошлина, подлежащая возмещению ООО "Газпром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межрегионгаз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Омск" по решению суда</w:t>
                        </w:r>
                      </w:p>
                      <w:p w:rsidR="00B96028" w:rsidRDefault="00253BBF">
                        <w:pPr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>Кредиторская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задолженности по счету 030300000 всего составила 251 035,94 руб.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130301000 "Расчеты по налогу на доходы физических лиц" 405,00 руб.- сумма, удержанная при предоставлении ежемесячного денежного вознаграждения опекунам за декабрь 2022 г.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130302000 "Расчеты по страховым взносам на обязательное социальное страхов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ание на случай временной нетрудоспособности и в связи с материнством" 104,24 руб. задолженность за декабрь 2022г.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Счет 130305000 "Расчеты по прочим платежам" 210 323,46 руб. (в т. ч. транспортный налог и сумма неиспользованного межбюджетного трансферта от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Министерства труда и социального развития Омской области)</w:t>
                        </w:r>
                      </w:p>
                      <w:p w:rsidR="00B96028" w:rsidRDefault="00B96028">
                        <w:pPr>
                          <w:jc w:val="both"/>
                        </w:pP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Счет 130306000 "Расчеты по страховым взносам на обязательное социальное страхование на случай временной нетрудоспособности и в связи с материнством" 0,08 руб. кредиторская задолженность за декабрь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2022г.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Счет 130307000 "Расчеты по страховым взносам на обязательное медицинское страхование" 183,31 руб. кредиторская задолженность за декабрь 2022 г.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130310000 "Расчеты по страховым взносам на обязательное пенсионное страхование на выплату страхово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й части трудовой пенсии" 17 339,44 руб. кредиторская задолженность за декабрь 2022г.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130312000 «Расчеты по налогу на имущество организаций» 22 679,41 руб. начислен налог на имущество. </w:t>
                        </w:r>
                      </w:p>
                      <w:p w:rsidR="00B96028" w:rsidRDefault="00253BBF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Счет 130313000 «Расчеты по земельному налогу» 1,00 руб. начислен 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емельный налог.</w:t>
                        </w:r>
                      </w:p>
                    </w:tc>
                  </w:tr>
                </w:tbl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Увеличение дебиторской  задолженности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состоянию на отчетную дату в сравнении с данными за аналогичный период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прошлого финансового года по счету: 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20523000 «Расчеты по доходам от платежей при пользовании природными ресурсами» в связи 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заключением новых договоров;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20551000 «Расчеты по поступлениям текущего характера» начислены доходы будущих периодов текущего характера;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20626000 "Расчеты по авансам по прочим работам, услугам" в связи с предоплатой НЧОУ ДПО "Сибирский образовательный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центр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"(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обучение);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 20628000 «Расчеты по авансам по услугам, работам для целей капитальных вложений» в связи с предоплатой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услуг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 проведению государственной экспертизы АУ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Госэкспертиза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Омской области" по договорам №0258/09-07-0258/1-22 от 08.12.2022</w:t>
                  </w:r>
                  <w:r>
                    <w:rPr>
                      <w:color w:val="000000"/>
                      <w:sz w:val="28"/>
                      <w:szCs w:val="28"/>
                    </w:rPr>
                    <w:t>, № 0232/09-07-0234/1-22 от 16.11.2022 (сроки оказания услуг до декабря 2023 года).;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20896000  "Расчеты с подотчетными лицами по оплате иных выплат текущего характера" в связи с проведением мероприятий, проходивших в конце 2022 года - начале 2023.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1 303 </w:t>
                  </w:r>
                  <w:r>
                    <w:rPr>
                      <w:color w:val="000000"/>
                      <w:sz w:val="28"/>
                      <w:szCs w:val="28"/>
                    </w:rPr>
                    <w:t>12 000  «Расчеты по налогу на имущество» переплата по налогу на имущество;</w:t>
                  </w:r>
                </w:p>
                <w:p w:rsidR="00B96028" w:rsidRDefault="00253BBF">
                  <w:pPr>
                    <w:spacing w:before="20" w:after="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1 303 13 000 «Расчеты по земельному налогу»  предоплата по земельному налогу;</w:t>
                  </w:r>
                </w:p>
                <w:p w:rsidR="00B96028" w:rsidRDefault="00253BB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Увеличение кредиторской задолженности  по счету 302 00 000 счету:</w:t>
                  </w:r>
                </w:p>
                <w:p w:rsidR="00B96028" w:rsidRDefault="00253BB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1 302 22 000 </w:t>
                  </w:r>
                  <w:r>
                    <w:rPr>
                      <w:color w:val="000000"/>
                      <w:sz w:val="28"/>
                      <w:szCs w:val="28"/>
                    </w:rPr>
                    <w:t>"Расчеты по транспортным услугам " 117 737,82 руб. кредиторская задолженность по транспортным услугам за декабрь 2022г. оплата в январе 2023года. НПХ "Боевое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"-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филиал ФГБНУ" Омский АНЦ".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1 302 63 000 "Расчеты по пособиям по социальной помощи населению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." 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Зад</w:t>
                  </w:r>
                  <w:r>
                    <w:rPr>
                      <w:color w:val="000000"/>
                      <w:sz w:val="28"/>
                      <w:szCs w:val="28"/>
                    </w:rPr>
                    <w:t>олженность по компенсации родительской платы за декабрь 2022 в сумме 36 568,10 руб. срок выплаты в январе 2023г.</w:t>
                  </w:r>
                </w:p>
                <w:p w:rsidR="00B96028" w:rsidRDefault="00253BB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1 302 97 000 "Расчеты по иным выплатам текущего характера организациям"  госпошлина, подлежащая возмещению ООО "Газпром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межрегионгаз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Омск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"п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 ре</w:t>
                  </w:r>
                  <w:r>
                    <w:rPr>
                      <w:color w:val="000000"/>
                      <w:sz w:val="28"/>
                      <w:szCs w:val="28"/>
                    </w:rPr>
                    <w:t>шению суда</w:t>
                  </w:r>
                </w:p>
                <w:p w:rsidR="00B96028" w:rsidRDefault="00253BBF">
                  <w:pPr>
                    <w:spacing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1 303 05 000 "Расчеты по прочим платежам"  увеличение в связи с начислением суммы возврата из бюджета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городского поселения межбюджетного трансферта Министерству труда и социального развития Омской области.</w:t>
                  </w:r>
                </w:p>
                <w:p w:rsidR="00B96028" w:rsidRDefault="00B96028">
                  <w:pPr>
                    <w:jc w:val="both"/>
                  </w:pPr>
                </w:p>
              </w:tc>
            </w:tr>
          </w:tbl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B96028">
        <w:trPr>
          <w:trHeight w:val="322"/>
        </w:trPr>
        <w:tc>
          <w:tcPr>
            <w:tcW w:w="1031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B9602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Муниципальными учреждениями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МР перед годовой отчетностью, проведена инвентаризация имущества, финансовых обязательств, имущественных прав.  Инвентаризация проведена и оформлена в соответствии с требованиями действующего законодательства. Ост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аток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сч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401.60 "Резервы предстоящих расходов" всего по району составляет 15 640 791,03 руб., КОСГУ 211:  11 938 867,07 руб., КОСГУ 213:  3 701 923,96 руб. Расходы будущих периодов счет 040150000 на конец года составляют 5 539 842,09 руб. ( не исключител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ьные права использования программы превышающие 12 </w:t>
                  </w: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мес</w:t>
                  </w:r>
                  <w:proofErr w:type="spellEnd"/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, страхование гражданской ответственности полис ОСАГО).</w:t>
                  </w:r>
                </w:p>
                <w:p w:rsidR="00B96028" w:rsidRDefault="00253BBF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 формам 0503295, 0503184,0503372 показатели отсутствуют.</w:t>
                  </w:r>
                </w:p>
              </w:tc>
            </w:tr>
          </w:tbl>
          <w:p w:rsidR="00B96028" w:rsidRDefault="00253B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</w:tbl>
    <w:p w:rsidR="00B96028" w:rsidRDefault="00B96028">
      <w:pPr>
        <w:rPr>
          <w:vanish/>
        </w:rPr>
      </w:pPr>
      <w:bookmarkStart w:id="2" w:name="__bookmark_3"/>
      <w:bookmarkEnd w:id="2"/>
    </w:p>
    <w:tbl>
      <w:tblPr>
        <w:tblOverlap w:val="never"/>
        <w:tblW w:w="10031" w:type="dxa"/>
        <w:tblLayout w:type="fixed"/>
        <w:tblLook w:val="01E0"/>
      </w:tblPr>
      <w:tblGrid>
        <w:gridCol w:w="2267"/>
        <w:gridCol w:w="623"/>
        <w:gridCol w:w="623"/>
        <w:gridCol w:w="2834"/>
        <w:gridCol w:w="1700"/>
        <w:gridCol w:w="1984"/>
      </w:tblGrid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vMerge w:val="restart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22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267"/>
            </w:tblGrid>
            <w:tr w:rsidR="00B96028">
              <w:tc>
                <w:tcPr>
                  <w:tcW w:w="2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r>
                    <w:rPr>
                      <w:color w:val="000000"/>
                      <w:sz w:val="28"/>
                      <w:szCs w:val="28"/>
                    </w:rPr>
                    <w:t>ЗАМЕСТИТЕЛЬ ГЛАВЫ МУНИЦИПАЛЬНОГО РАЙОНА, ПРЕДСЕДАТЕЛЬ КОМИТЕТА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  <w:tc>
          <w:tcPr>
            <w:tcW w:w="1246" w:type="dxa"/>
            <w:gridSpan w:val="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3684" w:type="dxa"/>
            <w:gridSpan w:val="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rPr>
                <w:vanish/>
              </w:rPr>
            </w:pPr>
          </w:p>
          <w:tbl>
            <w:tblPr>
              <w:tblOverlap w:val="never"/>
              <w:tblW w:w="3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4"/>
            </w:tblGrid>
            <w:tr w:rsidR="00B96028">
              <w:trPr>
                <w:jc w:val="center"/>
              </w:trPr>
              <w:tc>
                <w:tcPr>
                  <w:tcW w:w="3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Т.Н.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Кузовова</w:t>
                  </w:r>
                  <w:proofErr w:type="spellEnd"/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453"/>
        </w:trPr>
        <w:tc>
          <w:tcPr>
            <w:tcW w:w="2267" w:type="dxa"/>
            <w:vMerge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  <w:tc>
          <w:tcPr>
            <w:tcW w:w="124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3684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96028">
        <w:trPr>
          <w:trHeight w:val="1"/>
        </w:trPr>
        <w:tc>
          <w:tcPr>
            <w:tcW w:w="10031" w:type="dxa"/>
            <w:gridSpan w:val="6"/>
            <w:vMerge w:val="restart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1"/>
        </w:trPr>
        <w:tc>
          <w:tcPr>
            <w:tcW w:w="10031" w:type="dxa"/>
            <w:gridSpan w:val="6"/>
            <w:vMerge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226"/>
        </w:trPr>
        <w:tc>
          <w:tcPr>
            <w:tcW w:w="226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22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267"/>
            </w:tblGrid>
            <w:tr w:rsidR="00B96028">
              <w:tc>
                <w:tcPr>
                  <w:tcW w:w="2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r>
                    <w:rPr>
                      <w:color w:val="000000"/>
                      <w:sz w:val="28"/>
                      <w:szCs w:val="28"/>
                    </w:rPr>
                    <w:t>Заместитель председателя комитета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  <w:tc>
          <w:tcPr>
            <w:tcW w:w="1246" w:type="dxa"/>
            <w:gridSpan w:val="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3684" w:type="dxa"/>
            <w:gridSpan w:val="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rPr>
                <w:vanish/>
              </w:rPr>
            </w:pPr>
          </w:p>
          <w:tbl>
            <w:tblPr>
              <w:tblOverlap w:val="never"/>
              <w:tblW w:w="3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4"/>
            </w:tblGrid>
            <w:tr w:rsidR="00B96028">
              <w:trPr>
                <w:jc w:val="center"/>
              </w:trPr>
              <w:tc>
                <w:tcPr>
                  <w:tcW w:w="3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И.В.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Пуненко</w:t>
                  </w:r>
                  <w:proofErr w:type="spellEnd"/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453"/>
        </w:trPr>
        <w:tc>
          <w:tcPr>
            <w:tcW w:w="2267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  <w:tc>
          <w:tcPr>
            <w:tcW w:w="124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3684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96028">
        <w:trPr>
          <w:trHeight w:val="1"/>
        </w:trPr>
        <w:tc>
          <w:tcPr>
            <w:tcW w:w="1003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1"/>
        </w:trPr>
        <w:tc>
          <w:tcPr>
            <w:tcW w:w="10031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22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267"/>
            </w:tblGrid>
            <w:tr w:rsidR="00B96028">
              <w:tc>
                <w:tcPr>
                  <w:tcW w:w="2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r>
                    <w:rPr>
                      <w:color w:val="000000"/>
                      <w:sz w:val="28"/>
                      <w:szCs w:val="28"/>
                    </w:rPr>
                    <w:t>Начальник отдела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  <w:tc>
          <w:tcPr>
            <w:tcW w:w="1246" w:type="dxa"/>
            <w:gridSpan w:val="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3684" w:type="dxa"/>
            <w:gridSpan w:val="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rPr>
                <w:vanish/>
              </w:rPr>
            </w:pPr>
          </w:p>
          <w:tbl>
            <w:tblPr>
              <w:tblOverlap w:val="never"/>
              <w:tblW w:w="3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4"/>
            </w:tblGrid>
            <w:tr w:rsidR="00B96028">
              <w:trPr>
                <w:jc w:val="center"/>
              </w:trPr>
              <w:tc>
                <w:tcPr>
                  <w:tcW w:w="3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Т.П. Ковалёва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453"/>
        </w:trPr>
        <w:tc>
          <w:tcPr>
            <w:tcW w:w="2267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  <w:tc>
          <w:tcPr>
            <w:tcW w:w="124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3684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96028">
        <w:trPr>
          <w:trHeight w:val="1"/>
        </w:trPr>
        <w:tc>
          <w:tcPr>
            <w:tcW w:w="1003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1"/>
        </w:trPr>
        <w:tc>
          <w:tcPr>
            <w:tcW w:w="10031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  <w:tr w:rsidR="00B96028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253B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028" w:rsidRDefault="00B96028">
            <w:pPr>
              <w:spacing w:line="1" w:lineRule="auto"/>
            </w:pPr>
          </w:p>
        </w:tc>
      </w:tr>
      <w:tr w:rsidR="00B96028">
        <w:trPr>
          <w:trHeight w:val="230"/>
        </w:trPr>
        <w:tc>
          <w:tcPr>
            <w:tcW w:w="1003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031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031"/>
            </w:tblGrid>
            <w:tr w:rsidR="00B96028">
              <w:tc>
                <w:tcPr>
                  <w:tcW w:w="1003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028" w:rsidRDefault="00253BBF">
                  <w:r>
                    <w:rPr>
                      <w:color w:val="000000"/>
                      <w:sz w:val="28"/>
                      <w:szCs w:val="28"/>
                    </w:rPr>
                    <w:t>21 февраля 2023 г.</w:t>
                  </w:r>
                </w:p>
              </w:tc>
            </w:tr>
          </w:tbl>
          <w:p w:rsidR="00B96028" w:rsidRDefault="00B96028">
            <w:pPr>
              <w:spacing w:line="1" w:lineRule="auto"/>
            </w:pPr>
          </w:p>
        </w:tc>
      </w:tr>
    </w:tbl>
    <w:p w:rsidR="00253BBF" w:rsidRDefault="00253BBF"/>
    <w:sectPr w:rsidR="00253BBF" w:rsidSect="00B96028">
      <w:headerReference w:type="default" r:id="rId6"/>
      <w:footerReference w:type="default" r:id="rId7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BBF" w:rsidRDefault="00253BBF" w:rsidP="00B96028">
      <w:r>
        <w:separator/>
      </w:r>
    </w:p>
  </w:endnote>
  <w:endnote w:type="continuationSeparator" w:id="0">
    <w:p w:rsidR="00253BBF" w:rsidRDefault="00253BBF" w:rsidP="00B96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B96028">
      <w:tc>
        <w:tcPr>
          <w:tcW w:w="10421" w:type="dxa"/>
        </w:tcPr>
        <w:p w:rsidR="00B96028" w:rsidRDefault="00B9602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BBF" w:rsidRDefault="00253BBF" w:rsidP="00B96028">
      <w:r>
        <w:separator/>
      </w:r>
    </w:p>
  </w:footnote>
  <w:footnote w:type="continuationSeparator" w:id="0">
    <w:p w:rsidR="00253BBF" w:rsidRDefault="00253BBF" w:rsidP="00B96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B96028">
      <w:tc>
        <w:tcPr>
          <w:tcW w:w="10421" w:type="dxa"/>
        </w:tcPr>
        <w:p w:rsidR="00B96028" w:rsidRDefault="00B9602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028"/>
    <w:rsid w:val="00253BBF"/>
    <w:rsid w:val="005060FC"/>
    <w:rsid w:val="00B9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960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2304</Words>
  <Characters>13137</Characters>
  <Application>Microsoft Office Word</Application>
  <DocSecurity>0</DocSecurity>
  <Lines>109</Lines>
  <Paragraphs>30</Paragraphs>
  <ScaleCrop>false</ScaleCrop>
  <Company>administration</Company>
  <LinksUpToDate>false</LinksUpToDate>
  <CharactersWithSpaces>15411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buhg1</dc:creator>
  <cp:lastModifiedBy>buhg1</cp:lastModifiedBy>
  <cp:revision>2</cp:revision>
  <dcterms:created xsi:type="dcterms:W3CDTF">2023-03-30T07:16:00Z</dcterms:created>
  <dcterms:modified xsi:type="dcterms:W3CDTF">2023-03-30T07:16:00Z</dcterms:modified>
</cp:coreProperties>
</file>