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r w:rsidR="008F08F6">
        <w:t>, от 27.07.2022 №63</w:t>
      </w:r>
      <w:r w:rsidR="002C28BA">
        <w:t xml:space="preserve">, </w:t>
      </w:r>
      <w:proofErr w:type="gramStart"/>
      <w:r w:rsidR="002C28BA">
        <w:t>от</w:t>
      </w:r>
      <w:proofErr w:type="gramEnd"/>
      <w:r w:rsidR="002C28BA">
        <w:t xml:space="preserve"> 20.09.2022 №80</w:t>
      </w:r>
      <w:r w:rsidR="008C7E88">
        <w:t>, от 26.10.2022 №101</w:t>
      </w:r>
      <w:r w:rsidR="00B445E7">
        <w:t>, от 23.11.2022 №115</w:t>
      </w:r>
      <w:r w:rsidR="002C0846">
        <w:t>, от 21.12.2022 №125</w:t>
      </w:r>
      <w:r w:rsidR="008F08F6">
        <w:t>)</w:t>
      </w: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FA424E" w:rsidRPr="00AF3F66">
        <w:rPr>
          <w:sz w:val="28"/>
          <w:szCs w:val="28"/>
        </w:rPr>
        <w:t>1</w:t>
      </w:r>
      <w:r w:rsidR="002C0846">
        <w:rPr>
          <w:sz w:val="28"/>
          <w:szCs w:val="28"/>
        </w:rPr>
        <w:t> </w:t>
      </w:r>
      <w:r w:rsidR="008C7E88">
        <w:rPr>
          <w:sz w:val="28"/>
          <w:szCs w:val="28"/>
        </w:rPr>
        <w:t>3</w:t>
      </w:r>
      <w:r w:rsidR="002C0846">
        <w:rPr>
          <w:sz w:val="28"/>
          <w:szCs w:val="28"/>
        </w:rPr>
        <w:t>70 033 455,78</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B61182">
        <w:rPr>
          <w:sz w:val="28"/>
          <w:szCs w:val="28"/>
        </w:rPr>
        <w:t>1</w:t>
      </w:r>
      <w:r w:rsidR="002C0846">
        <w:rPr>
          <w:sz w:val="28"/>
          <w:szCs w:val="28"/>
        </w:rPr>
        <w:t> 370 683 943,10</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 xml:space="preserve">дефицит районного бюджета в размере </w:t>
      </w:r>
      <w:r w:rsidR="002C0846">
        <w:rPr>
          <w:sz w:val="28"/>
          <w:szCs w:val="28"/>
        </w:rPr>
        <w:t>650 487,32</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w:t>
      </w:r>
      <w:r w:rsidR="002C0846">
        <w:rPr>
          <w:sz w:val="28"/>
          <w:szCs w:val="28"/>
        </w:rPr>
        <w:t>98 306 652,33</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8C7E88">
        <w:rPr>
          <w:sz w:val="28"/>
          <w:szCs w:val="28"/>
        </w:rPr>
        <w:t> 418 675,47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2C0846">
        <w:rPr>
          <w:sz w:val="28"/>
          <w:szCs w:val="28"/>
        </w:rPr>
        <w:t>998 306 652,33</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B445E7">
        <w:rPr>
          <w:sz w:val="28"/>
          <w:szCs w:val="28"/>
        </w:rPr>
        <w:t>8</w:t>
      </w:r>
      <w:r w:rsidR="00005FCE" w:rsidRPr="0060511D">
        <w:rPr>
          <w:sz w:val="28"/>
          <w:szCs w:val="28"/>
        </w:rPr>
        <w:t>00</w:t>
      </w:r>
      <w:r w:rsidR="00B445E7">
        <w:rPr>
          <w:sz w:val="28"/>
          <w:szCs w:val="28"/>
        </w:rPr>
        <w:t> </w:t>
      </w:r>
      <w:r w:rsidR="00005FCE" w:rsidRPr="0060511D">
        <w:rPr>
          <w:sz w:val="28"/>
          <w:szCs w:val="28"/>
        </w:rPr>
        <w:t>000</w:t>
      </w:r>
      <w:r w:rsidR="00B445E7">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8C7E88">
        <w:rPr>
          <w:sz w:val="28"/>
          <w:szCs w:val="28"/>
        </w:rPr>
        <w:t> 418 675,47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 xml:space="preserve">2) неналоговых доходов, в том числе части прибыли муниципальных унитарных предприятий Исилькульского района, остающейся после уплаты </w:t>
      </w:r>
      <w:r w:rsidRPr="0060511D">
        <w:rPr>
          <w:sz w:val="28"/>
          <w:szCs w:val="28"/>
        </w:rPr>
        <w:lastRenderedPageBreak/>
        <w:t>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8C7E88">
        <w:rPr>
          <w:sz w:val="28"/>
          <w:szCs w:val="28"/>
        </w:rPr>
        <w:t>11</w:t>
      </w:r>
      <w:r w:rsidR="002C0846">
        <w:rPr>
          <w:sz w:val="28"/>
          <w:szCs w:val="28"/>
        </w:rPr>
        <w:t> 560 668,44</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w:t>
      </w:r>
      <w:r w:rsidR="00B445E7">
        <w:rPr>
          <w:rFonts w:eastAsiaTheme="minorHAnsi"/>
          <w:sz w:val="28"/>
          <w:szCs w:val="28"/>
          <w:lang w:eastAsia="en-US"/>
        </w:rPr>
        <w:t>3 488 606,18</w:t>
      </w:r>
      <w:r w:rsidR="00D04A57" w:rsidRPr="0039013B">
        <w:rPr>
          <w:rFonts w:eastAsiaTheme="minorHAnsi"/>
          <w:sz w:val="28"/>
          <w:szCs w:val="28"/>
          <w:lang w:eastAsia="en-US"/>
        </w:rPr>
        <w:t>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w:t>
      </w:r>
      <w:proofErr w:type="gramStart"/>
      <w:r w:rsidR="00077D26" w:rsidRPr="0060511D">
        <w:rPr>
          <w:sz w:val="28"/>
          <w:szCs w:val="28"/>
        </w:rPr>
        <w:t>Бюджетного</w:t>
      </w:r>
      <w:proofErr w:type="gramEnd"/>
      <w:r w:rsidR="00077D26" w:rsidRPr="0060511D">
        <w:rPr>
          <w:sz w:val="28"/>
          <w:szCs w:val="28"/>
        </w:rPr>
        <w:t xml:space="preserve">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60511D">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8C7E88">
        <w:rPr>
          <w:sz w:val="28"/>
          <w:szCs w:val="28"/>
        </w:rPr>
        <w:t>682 912,62</w:t>
      </w:r>
      <w:r w:rsidR="009A61AA">
        <w:rPr>
          <w:sz w:val="28"/>
          <w:szCs w:val="28"/>
        </w:rPr>
        <w:t xml:space="preserve">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w:t>
      </w:r>
      <w:r w:rsidR="006D13A8" w:rsidRPr="0060511D">
        <w:rPr>
          <w:sz w:val="28"/>
          <w:szCs w:val="28"/>
        </w:rPr>
        <w:lastRenderedPageBreak/>
        <w:t xml:space="preserve">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60511D">
        <w:rPr>
          <w:sz w:val="28"/>
          <w:szCs w:val="28"/>
        </w:rPr>
        <w:lastRenderedPageBreak/>
        <w:t>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05786A">
        <w:rPr>
          <w:rFonts w:ascii="Times New Roman" w:hAnsi="Times New Roman" w:cs="Times New Roman"/>
          <w:sz w:val="28"/>
          <w:szCs w:val="28"/>
        </w:rPr>
        <w:t>1</w:t>
      </w:r>
      <w:r w:rsidR="002C0846">
        <w:rPr>
          <w:rFonts w:ascii="Times New Roman" w:hAnsi="Times New Roman" w:cs="Times New Roman"/>
          <w:sz w:val="28"/>
          <w:szCs w:val="28"/>
        </w:rPr>
        <w:t> </w:t>
      </w:r>
      <w:r w:rsidR="0005786A">
        <w:rPr>
          <w:rFonts w:ascii="Times New Roman" w:hAnsi="Times New Roman" w:cs="Times New Roman"/>
          <w:sz w:val="28"/>
          <w:szCs w:val="28"/>
        </w:rPr>
        <w:t>0</w:t>
      </w:r>
      <w:r w:rsidR="002C0846">
        <w:rPr>
          <w:rFonts w:ascii="Times New Roman" w:hAnsi="Times New Roman" w:cs="Times New Roman"/>
          <w:sz w:val="28"/>
          <w:szCs w:val="28"/>
        </w:rPr>
        <w:t>62 512 705,53</w:t>
      </w:r>
      <w:r w:rsidRPr="0060511D">
        <w:rPr>
          <w:rFonts w:ascii="Times New Roman" w:hAnsi="Times New Roman" w:cs="Times New Roman"/>
          <w:sz w:val="28"/>
          <w:szCs w:val="28"/>
        </w:rPr>
        <w:t xml:space="preserve"> руб., в 2023 году в сумме </w:t>
      </w:r>
      <w:r w:rsidR="002C0846">
        <w:rPr>
          <w:rFonts w:ascii="Times New Roman" w:hAnsi="Times New Roman" w:cs="Times New Roman"/>
          <w:sz w:val="28"/>
          <w:szCs w:val="28"/>
        </w:rPr>
        <w:t>717 817 890,76</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8C7E88">
        <w:rPr>
          <w:rFonts w:ascii="Times New Roman" w:hAnsi="Times New Roman" w:cs="Times New Roman"/>
          <w:sz w:val="28"/>
          <w:szCs w:val="28"/>
        </w:rPr>
        <w:t> 476 552,64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2C0846">
        <w:rPr>
          <w:sz w:val="28"/>
          <w:szCs w:val="28"/>
        </w:rPr>
        <w:lastRenderedPageBreak/>
        <w:t>64 546 072,27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w:t>
      </w:r>
      <w:r w:rsidR="008C7E88">
        <w:rPr>
          <w:sz w:val="28"/>
          <w:szCs w:val="28"/>
        </w:rPr>
        <w:t>1</w:t>
      </w:r>
      <w:r w:rsidR="002C0846">
        <w:rPr>
          <w:sz w:val="28"/>
          <w:szCs w:val="28"/>
        </w:rPr>
        <w:t> 221 520,27</w:t>
      </w:r>
      <w:r w:rsidR="0005786A">
        <w:rPr>
          <w:sz w:val="28"/>
          <w:szCs w:val="28"/>
        </w:rPr>
        <w:t xml:space="preserve"> </w:t>
      </w:r>
      <w:r w:rsidRPr="0060511D">
        <w:rPr>
          <w:sz w:val="28"/>
          <w:szCs w:val="28"/>
        </w:rPr>
        <w:t>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lastRenderedPageBreak/>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lastRenderedPageBreak/>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lastRenderedPageBreak/>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r w:rsidRPr="00D356A6">
        <w:rPr>
          <w:sz w:val="28"/>
          <w:szCs w:val="28"/>
        </w:rPr>
        <w:t>Статья 12.1 Особенности использования неналоговых доходов в области охраны окружающей среды</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proofErr w:type="gramStart"/>
      <w:r w:rsidRPr="00D356A6">
        <w:rPr>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D356A6">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 </w:t>
      </w:r>
      <w:proofErr w:type="gramStart"/>
      <w:r w:rsidRPr="00D356A6">
        <w:rPr>
          <w:sz w:val="28"/>
          <w:szCs w:val="28"/>
        </w:rPr>
        <w:t>от</w:t>
      </w:r>
      <w:proofErr w:type="gramEnd"/>
      <w:r w:rsidRPr="00D356A6">
        <w:rPr>
          <w:sz w:val="28"/>
          <w:szCs w:val="28"/>
        </w:rPr>
        <w:t>:</w:t>
      </w:r>
    </w:p>
    <w:p w:rsidR="008C7E88" w:rsidRPr="00D356A6" w:rsidRDefault="008C7E88" w:rsidP="008C7E88">
      <w:pPr>
        <w:adjustRightInd w:val="0"/>
        <w:ind w:firstLine="709"/>
        <w:contextualSpacing/>
        <w:jc w:val="both"/>
        <w:outlineLvl w:val="1"/>
        <w:rPr>
          <w:sz w:val="28"/>
          <w:szCs w:val="28"/>
        </w:rPr>
      </w:pPr>
      <w:r w:rsidRPr="00D356A6">
        <w:rPr>
          <w:sz w:val="28"/>
          <w:szCs w:val="28"/>
        </w:rPr>
        <w:t>- платы за негативное воздействие на окружающую среду;</w:t>
      </w:r>
    </w:p>
    <w:p w:rsidR="008C7E88" w:rsidRPr="00D356A6" w:rsidRDefault="008C7E88" w:rsidP="008C7E88">
      <w:pPr>
        <w:adjustRightInd w:val="0"/>
        <w:ind w:firstLine="709"/>
        <w:contextualSpacing/>
        <w:jc w:val="both"/>
        <w:outlineLvl w:val="1"/>
        <w:rPr>
          <w:sz w:val="28"/>
          <w:szCs w:val="28"/>
        </w:rPr>
      </w:pPr>
      <w:r w:rsidRPr="00D356A6">
        <w:rPr>
          <w:sz w:val="28"/>
          <w:szCs w:val="28"/>
        </w:rPr>
        <w:t xml:space="preserve">-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D356A6">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D04A57" w:rsidRPr="0060511D" w:rsidRDefault="008C7E88" w:rsidP="008C7E88">
      <w:pPr>
        <w:keepNext/>
        <w:autoSpaceDE w:val="0"/>
        <w:autoSpaceDN w:val="0"/>
        <w:adjustRightInd w:val="0"/>
        <w:ind w:firstLine="709"/>
        <w:jc w:val="both"/>
        <w:outlineLvl w:val="1"/>
        <w:rPr>
          <w:sz w:val="28"/>
          <w:szCs w:val="28"/>
        </w:rPr>
      </w:pPr>
      <w:r w:rsidRPr="00D356A6">
        <w:rPr>
          <w:sz w:val="28"/>
          <w:szCs w:val="28"/>
        </w:rPr>
        <w:t>-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8C7E88" w:rsidRDefault="008C7E88"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r w:rsidR="000259AE">
        <w:rPr>
          <w:sz w:val="28"/>
          <w:szCs w:val="28"/>
        </w:rPr>
        <w:t xml:space="preserve"> и статьи 12.1, действие которой распространяются на </w:t>
      </w:r>
      <w:proofErr w:type="gramStart"/>
      <w:r w:rsidR="006F674A">
        <w:rPr>
          <w:sz w:val="28"/>
          <w:szCs w:val="28"/>
        </w:rPr>
        <w:t>право</w:t>
      </w:r>
      <w:r w:rsidR="000259AE">
        <w:rPr>
          <w:sz w:val="28"/>
          <w:szCs w:val="28"/>
        </w:rPr>
        <w:t>отношения</w:t>
      </w:r>
      <w:proofErr w:type="gramEnd"/>
      <w:r w:rsidR="000259AE">
        <w:rPr>
          <w:sz w:val="28"/>
          <w:szCs w:val="28"/>
        </w:rPr>
        <w:t xml:space="preserve"> возникшие с 1 сентября 2022 года.</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E2" w:rsidRDefault="00C54FE2" w:rsidP="00DA2E2B">
      <w:r>
        <w:separator/>
      </w:r>
    </w:p>
  </w:endnote>
  <w:endnote w:type="continuationSeparator" w:id="0">
    <w:p w:rsidR="00C54FE2" w:rsidRDefault="00C54FE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E2" w:rsidRDefault="00C54FE2" w:rsidP="00DA2E2B">
      <w:r>
        <w:separator/>
      </w:r>
    </w:p>
  </w:footnote>
  <w:footnote w:type="continuationSeparator" w:id="0">
    <w:p w:rsidR="00C54FE2" w:rsidRDefault="00C54FE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Default="00DD3C7D" w:rsidP="001E211F">
    <w:pPr>
      <w:pStyle w:val="a3"/>
      <w:framePr w:wrap="around" w:vAnchor="text" w:hAnchor="margin" w:xAlign="center" w:y="1"/>
      <w:rPr>
        <w:rStyle w:val="a5"/>
      </w:rPr>
    </w:pPr>
    <w:r>
      <w:rPr>
        <w:rStyle w:val="a5"/>
      </w:rPr>
      <w:fldChar w:fldCharType="begin"/>
    </w:r>
    <w:r w:rsidR="00C54FE2">
      <w:rPr>
        <w:rStyle w:val="a5"/>
      </w:rPr>
      <w:instrText xml:space="preserve">PAGE  </w:instrText>
    </w:r>
    <w:r>
      <w:rPr>
        <w:rStyle w:val="a5"/>
      </w:rPr>
      <w:fldChar w:fldCharType="end"/>
    </w:r>
  </w:p>
  <w:p w:rsidR="00C54FE2" w:rsidRDefault="00C54FE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Pr="00DA2E2B" w:rsidRDefault="00DD3C7D" w:rsidP="001E211F">
    <w:pPr>
      <w:pStyle w:val="a3"/>
      <w:framePr w:wrap="around" w:vAnchor="text" w:hAnchor="margin" w:xAlign="center" w:y="1"/>
      <w:rPr>
        <w:rStyle w:val="a5"/>
        <w:sz w:val="28"/>
        <w:szCs w:val="28"/>
      </w:rPr>
    </w:pPr>
    <w:r w:rsidRPr="00DA2E2B">
      <w:rPr>
        <w:rStyle w:val="a5"/>
        <w:sz w:val="28"/>
        <w:szCs w:val="28"/>
      </w:rPr>
      <w:fldChar w:fldCharType="begin"/>
    </w:r>
    <w:r w:rsidR="00C54FE2" w:rsidRPr="00DA2E2B">
      <w:rPr>
        <w:rStyle w:val="a5"/>
        <w:sz w:val="28"/>
        <w:szCs w:val="28"/>
      </w:rPr>
      <w:instrText xml:space="preserve">PAGE  </w:instrText>
    </w:r>
    <w:r w:rsidRPr="00DA2E2B">
      <w:rPr>
        <w:rStyle w:val="a5"/>
        <w:sz w:val="28"/>
        <w:szCs w:val="28"/>
      </w:rPr>
      <w:fldChar w:fldCharType="separate"/>
    </w:r>
    <w:r w:rsidR="002C0846">
      <w:rPr>
        <w:rStyle w:val="a5"/>
        <w:noProof/>
        <w:sz w:val="28"/>
        <w:szCs w:val="28"/>
      </w:rPr>
      <w:t>10</w:t>
    </w:r>
    <w:r w:rsidRPr="00DA2E2B">
      <w:rPr>
        <w:rStyle w:val="a5"/>
        <w:sz w:val="28"/>
        <w:szCs w:val="28"/>
      </w:rPr>
      <w:fldChar w:fldCharType="end"/>
    </w:r>
  </w:p>
  <w:p w:rsidR="00C54FE2" w:rsidRDefault="00C54FE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259AE"/>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5786A"/>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846"/>
    <w:rsid w:val="002C0CE0"/>
    <w:rsid w:val="002C28BA"/>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58"/>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96F"/>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74A"/>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4F37"/>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C7E88"/>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380C"/>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45E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4FE2"/>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2C2E"/>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7D"/>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790"/>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2905"/>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149BA-C0A6-402B-AE31-9A69BC85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12</Pages>
  <Words>4213</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49</cp:revision>
  <cp:lastPrinted>2022-10-27T10:40:00Z</cp:lastPrinted>
  <dcterms:created xsi:type="dcterms:W3CDTF">2020-11-30T09:55:00Z</dcterms:created>
  <dcterms:modified xsi:type="dcterms:W3CDTF">2022-12-22T10:16:00Z</dcterms:modified>
</cp:coreProperties>
</file>