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r w:rsidRPr="000517D9">
        <w:t>(в ред. Решений Совета Исилькульского муниципального района Омской области от 24.02.202</w:t>
      </w:r>
      <w:r>
        <w:t>2</w:t>
      </w:r>
      <w:r w:rsidRPr="000517D9">
        <w:t xml:space="preserve"> №1</w:t>
      </w:r>
      <w:r w:rsidR="00176AA1">
        <w:t>, от 27.04.2022 №21</w:t>
      </w:r>
      <w:r w:rsidR="00D7157A">
        <w:t>, от 22.06.2022 №48</w:t>
      </w:r>
      <w:r w:rsidR="008F08F6">
        <w:t>, от 27.07.2022 №63)</w:t>
      </w: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FA424E" w:rsidRPr="00AF3F66">
        <w:rPr>
          <w:sz w:val="28"/>
          <w:szCs w:val="28"/>
        </w:rPr>
        <w:t>1 211 322 259,24</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B61182">
        <w:rPr>
          <w:sz w:val="28"/>
          <w:szCs w:val="28"/>
        </w:rPr>
        <w:t>1 233 304 152,11</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дефицит районного бюджета в размере  2</w:t>
      </w:r>
      <w:r w:rsidR="009A61AA">
        <w:rPr>
          <w:sz w:val="28"/>
          <w:szCs w:val="28"/>
        </w:rPr>
        <w:t>1 981 892,87</w:t>
      </w:r>
      <w:r w:rsidR="00D04A57" w:rsidRPr="0039013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911</w:t>
      </w:r>
      <w:r w:rsidR="009A61AA">
        <w:rPr>
          <w:sz w:val="28"/>
          <w:szCs w:val="28"/>
        </w:rPr>
        <w:t> 806 823,71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4D4E79">
        <w:rPr>
          <w:sz w:val="28"/>
          <w:szCs w:val="28"/>
        </w:rPr>
        <w:t>825</w:t>
      </w:r>
      <w:r w:rsidR="009A61AA">
        <w:rPr>
          <w:sz w:val="28"/>
          <w:szCs w:val="28"/>
        </w:rPr>
        <w:t> 325 747,47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9A61AA">
        <w:rPr>
          <w:sz w:val="28"/>
          <w:szCs w:val="28"/>
        </w:rPr>
        <w:t>911 806 823,71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w:t>
      </w:r>
      <w:r w:rsidR="009A61AA">
        <w:rPr>
          <w:sz w:val="28"/>
          <w:szCs w:val="28"/>
        </w:rPr>
        <w:t> 325 747,47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lastRenderedPageBreak/>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341302" w:rsidRPr="0060511D">
        <w:rPr>
          <w:sz w:val="28"/>
          <w:szCs w:val="28"/>
        </w:rPr>
        <w:t>1</w:t>
      </w:r>
      <w:r w:rsidR="00D04A57">
        <w:rPr>
          <w:sz w:val="28"/>
          <w:szCs w:val="28"/>
        </w:rPr>
        <w:t>2</w:t>
      </w:r>
      <w:r w:rsidR="009A61AA">
        <w:rPr>
          <w:sz w:val="28"/>
          <w:szCs w:val="28"/>
        </w:rPr>
        <w:t> 298 542,88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2 421 297,40руб.,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60511D">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B61182">
        <w:rPr>
          <w:sz w:val="28"/>
          <w:szCs w:val="28"/>
        </w:rPr>
        <w:t>8 359 481,67</w:t>
      </w:r>
      <w:r w:rsidR="009A61AA">
        <w:rPr>
          <w:sz w:val="28"/>
          <w:szCs w:val="28"/>
        </w:rPr>
        <w:t xml:space="preserve"> </w:t>
      </w:r>
      <w:r w:rsidR="00D615D2" w:rsidRPr="0060511D">
        <w:rPr>
          <w:sz w:val="28"/>
          <w:szCs w:val="28"/>
        </w:rPr>
        <w:t>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92773E" w:rsidRPr="0092773E">
        <w:rPr>
          <w:rFonts w:ascii="Times New Roman" w:hAnsi="Times New Roman" w:cs="Times New Roman"/>
          <w:sz w:val="28"/>
          <w:szCs w:val="28"/>
        </w:rPr>
        <w:t>906 862 023,52</w:t>
      </w:r>
      <w:r w:rsidRPr="0060511D">
        <w:rPr>
          <w:rFonts w:ascii="Times New Roman" w:hAnsi="Times New Roman" w:cs="Times New Roman"/>
          <w:sz w:val="28"/>
          <w:szCs w:val="28"/>
        </w:rPr>
        <w:t xml:space="preserve"> руб., в 2023 году в сумме </w:t>
      </w:r>
      <w:r w:rsidR="00D04A57">
        <w:rPr>
          <w:rFonts w:ascii="Times New Roman" w:hAnsi="Times New Roman" w:cs="Times New Roman"/>
          <w:sz w:val="28"/>
          <w:szCs w:val="28"/>
        </w:rPr>
        <w:t>631</w:t>
      </w:r>
      <w:r w:rsidR="009A61AA">
        <w:rPr>
          <w:rFonts w:ascii="Times New Roman" w:hAnsi="Times New Roman" w:cs="Times New Roman"/>
          <w:sz w:val="28"/>
          <w:szCs w:val="28"/>
        </w:rPr>
        <w:t> 318 062,14</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w:t>
      </w:r>
      <w:r w:rsidR="009A61AA">
        <w:rPr>
          <w:rFonts w:ascii="Times New Roman" w:hAnsi="Times New Roman" w:cs="Times New Roman"/>
          <w:sz w:val="28"/>
          <w:szCs w:val="28"/>
        </w:rPr>
        <w:t> 383 624,64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A74AC7">
        <w:rPr>
          <w:sz w:val="28"/>
          <w:szCs w:val="28"/>
        </w:rPr>
        <w:t>63 943 058,17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lastRenderedPageBreak/>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2E6DFB">
        <w:rPr>
          <w:sz w:val="28"/>
          <w:szCs w:val="28"/>
        </w:rPr>
        <w:t>10 618 506,17</w:t>
      </w:r>
      <w:r w:rsidRPr="0060511D">
        <w:rPr>
          <w:sz w:val="28"/>
          <w:szCs w:val="28"/>
        </w:rPr>
        <w:t xml:space="preserve"> 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p>
    <w:p w:rsidR="002E6DFB" w:rsidRPr="006C3AD9" w:rsidRDefault="002E6DFB" w:rsidP="002E6DFB">
      <w:pPr>
        <w:ind w:firstLine="709"/>
        <w:jc w:val="both"/>
        <w:rPr>
          <w:sz w:val="28"/>
          <w:szCs w:val="28"/>
        </w:rPr>
      </w:pPr>
      <w:r w:rsidRPr="006C3AD9">
        <w:rPr>
          <w:sz w:val="28"/>
          <w:szCs w:val="28"/>
        </w:rPr>
        <w:t>5) на создание условий для развития сельскохозяйственного производства в поселениях;</w:t>
      </w:r>
    </w:p>
    <w:p w:rsidR="00D04A57" w:rsidRDefault="002E6DFB" w:rsidP="002E6DFB">
      <w:pPr>
        <w:ind w:firstLine="709"/>
        <w:jc w:val="both"/>
        <w:rPr>
          <w:sz w:val="28"/>
          <w:szCs w:val="28"/>
        </w:rPr>
      </w:pPr>
      <w:r w:rsidRPr="006C3AD9">
        <w:rPr>
          <w:sz w:val="28"/>
          <w:szCs w:val="28"/>
        </w:rPr>
        <w:t xml:space="preserve">6) на поощрение </w:t>
      </w:r>
      <w:proofErr w:type="gramStart"/>
      <w:r w:rsidRPr="006C3AD9">
        <w:rPr>
          <w:sz w:val="28"/>
          <w:szCs w:val="28"/>
        </w:rPr>
        <w:t>достижения наилучших результатов оценки качества организации</w:t>
      </w:r>
      <w:proofErr w:type="gramEnd"/>
      <w:r w:rsidRPr="006C3AD9">
        <w:rPr>
          <w:sz w:val="28"/>
          <w:szCs w:val="28"/>
        </w:rPr>
        <w:t xml:space="preserve"> и осуществления бюджетного процесса в поселениях Исилькульского муниципального района</w:t>
      </w:r>
      <w:r w:rsidR="00D04A57">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lastRenderedPageBreak/>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Pr>
          <w:sz w:val="28"/>
          <w:szCs w:val="28"/>
        </w:rPr>
        <w:t>5</w:t>
      </w:r>
      <w:r w:rsidR="0060511D" w:rsidRPr="0060511D">
        <w:rPr>
          <w:sz w:val="28"/>
          <w:szCs w:val="28"/>
        </w:rPr>
        <w:t>0 процентов включительно сумм по муниципальным контрактам (ко</w:t>
      </w:r>
      <w:r w:rsidR="00671AD7">
        <w:rPr>
          <w:sz w:val="28"/>
          <w:szCs w:val="28"/>
        </w:rPr>
        <w:t>н</w:t>
      </w:r>
      <w:r w:rsidR="0060511D" w:rsidRPr="0060511D">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lastRenderedPageBreak/>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D04A57" w:rsidRPr="0060511D" w:rsidRDefault="00D04A57" w:rsidP="00D04A57">
      <w:pPr>
        <w:keepNext/>
        <w:autoSpaceDE w:val="0"/>
        <w:autoSpaceDN w:val="0"/>
        <w:adjustRightInd w:val="0"/>
        <w:ind w:firstLine="709"/>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79" w:rsidRDefault="00FE7579" w:rsidP="00DA2E2B">
      <w:r>
        <w:separator/>
      </w:r>
    </w:p>
  </w:endnote>
  <w:endnote w:type="continuationSeparator" w:id="0">
    <w:p w:rsidR="00FE7579" w:rsidRDefault="00FE757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79" w:rsidRDefault="00FE7579" w:rsidP="00DA2E2B">
      <w:r>
        <w:separator/>
      </w:r>
    </w:p>
  </w:footnote>
  <w:footnote w:type="continuationSeparator" w:id="0">
    <w:p w:rsidR="00FE7579" w:rsidRDefault="00FE757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Default="006F363B" w:rsidP="001E211F">
    <w:pPr>
      <w:pStyle w:val="a3"/>
      <w:framePr w:wrap="around" w:vAnchor="text" w:hAnchor="margin" w:xAlign="center" w:y="1"/>
      <w:rPr>
        <w:rStyle w:val="a5"/>
      </w:rPr>
    </w:pPr>
    <w:r>
      <w:rPr>
        <w:rStyle w:val="a5"/>
      </w:rPr>
      <w:fldChar w:fldCharType="begin"/>
    </w:r>
    <w:r w:rsidR="00FE7579">
      <w:rPr>
        <w:rStyle w:val="a5"/>
      </w:rPr>
      <w:instrText xml:space="preserve">PAGE  </w:instrText>
    </w:r>
    <w:r>
      <w:rPr>
        <w:rStyle w:val="a5"/>
      </w:rPr>
      <w:fldChar w:fldCharType="end"/>
    </w:r>
  </w:p>
  <w:p w:rsidR="00FE7579" w:rsidRDefault="00FE757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Pr="00DA2E2B" w:rsidRDefault="006F363B" w:rsidP="001E211F">
    <w:pPr>
      <w:pStyle w:val="a3"/>
      <w:framePr w:wrap="around" w:vAnchor="text" w:hAnchor="margin" w:xAlign="center" w:y="1"/>
      <w:rPr>
        <w:rStyle w:val="a5"/>
        <w:sz w:val="28"/>
        <w:szCs w:val="28"/>
      </w:rPr>
    </w:pPr>
    <w:r w:rsidRPr="00DA2E2B">
      <w:rPr>
        <w:rStyle w:val="a5"/>
        <w:sz w:val="28"/>
        <w:szCs w:val="28"/>
      </w:rPr>
      <w:fldChar w:fldCharType="begin"/>
    </w:r>
    <w:r w:rsidR="00FE7579" w:rsidRPr="00DA2E2B">
      <w:rPr>
        <w:rStyle w:val="a5"/>
        <w:sz w:val="28"/>
        <w:szCs w:val="28"/>
      </w:rPr>
      <w:instrText xml:space="preserve">PAGE  </w:instrText>
    </w:r>
    <w:r w:rsidRPr="00DA2E2B">
      <w:rPr>
        <w:rStyle w:val="a5"/>
        <w:sz w:val="28"/>
        <w:szCs w:val="28"/>
      </w:rPr>
      <w:fldChar w:fldCharType="separate"/>
    </w:r>
    <w:r w:rsidR="0092773E">
      <w:rPr>
        <w:rStyle w:val="a5"/>
        <w:noProof/>
        <w:sz w:val="28"/>
        <w:szCs w:val="28"/>
      </w:rPr>
      <w:t>6</w:t>
    </w:r>
    <w:r w:rsidRPr="00DA2E2B">
      <w:rPr>
        <w:rStyle w:val="a5"/>
        <w:sz w:val="28"/>
        <w:szCs w:val="28"/>
      </w:rPr>
      <w:fldChar w:fldCharType="end"/>
    </w:r>
  </w:p>
  <w:p w:rsidR="00FE7579" w:rsidRDefault="00FE757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63B"/>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08F6"/>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73E"/>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1AA"/>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A7FA6"/>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18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A1F"/>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7A"/>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424E"/>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3142E-3671-4A0B-AA0B-BF8E0D9A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11</Pages>
  <Words>3945</Words>
  <Characters>22488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Виноходова</cp:lastModifiedBy>
  <cp:revision>42</cp:revision>
  <cp:lastPrinted>2021-11-02T04:38:00Z</cp:lastPrinted>
  <dcterms:created xsi:type="dcterms:W3CDTF">2020-11-30T09:55:00Z</dcterms:created>
  <dcterms:modified xsi:type="dcterms:W3CDTF">2022-07-28T04:13:00Z</dcterms:modified>
</cp:coreProperties>
</file>